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DA4" w:rsidRPr="00233291" w:rsidRDefault="005B5CA7" w:rsidP="005B5CA7">
      <w:pPr>
        <w:jc w:val="center"/>
        <w:rPr>
          <w:sz w:val="28"/>
          <w:szCs w:val="28"/>
          <w:u w:val="single"/>
          <w:rtl/>
        </w:rPr>
      </w:pPr>
      <w:bookmarkStart w:id="0" w:name="_GoBack"/>
      <w:bookmarkEnd w:id="0"/>
      <w:r w:rsidRPr="00233291">
        <w:rPr>
          <w:rFonts w:hint="cs"/>
          <w:sz w:val="28"/>
          <w:szCs w:val="28"/>
          <w:u w:val="single"/>
          <w:rtl/>
        </w:rPr>
        <w:t>הערת פסיקה: האם יש זכות ערעור על החלטה בעיכוב ביצוע?</w:t>
      </w:r>
    </w:p>
    <w:p w:rsidR="005B5CA7" w:rsidRDefault="00121F93" w:rsidP="005B5CA7">
      <w:pPr>
        <w:jc w:val="center"/>
        <w:rPr>
          <w:rtl/>
        </w:rPr>
      </w:pPr>
      <w:r>
        <w:rPr>
          <w:rFonts w:hint="cs"/>
          <w:rtl/>
        </w:rPr>
        <w:t>עו"ד דרור ארד-אילון</w:t>
      </w:r>
      <w:r w:rsidR="00252629">
        <w:rPr>
          <w:rFonts w:hint="cs"/>
          <w:rtl/>
        </w:rPr>
        <w:t>*</w:t>
      </w:r>
    </w:p>
    <w:p w:rsidR="00CA7C29" w:rsidRDefault="00252629" w:rsidP="00252629">
      <w:pPr>
        <w:jc w:val="both"/>
        <w:rPr>
          <w:rtl/>
        </w:rPr>
      </w:pPr>
      <w:r>
        <w:rPr>
          <w:rFonts w:hint="cs"/>
          <w:rtl/>
        </w:rPr>
        <w:t xml:space="preserve">ברשימה זו אדון בהחלטת בית המשפט המחוזי בירושלים בעניין </w:t>
      </w:r>
      <w:r w:rsidR="00137681">
        <w:rPr>
          <w:rFonts w:hint="cs"/>
          <w:rtl/>
        </w:rPr>
        <w:t xml:space="preserve">עו"ד </w:t>
      </w:r>
      <w:proofErr w:type="spellStart"/>
      <w:r>
        <w:rPr>
          <w:rFonts w:hint="cs"/>
          <w:rtl/>
        </w:rPr>
        <w:t>שטרצר</w:t>
      </w:r>
      <w:proofErr w:type="spellEnd"/>
      <w:r>
        <w:rPr>
          <w:rFonts w:hint="cs"/>
          <w:rtl/>
        </w:rPr>
        <w:t>,</w:t>
      </w:r>
      <w:r>
        <w:rPr>
          <w:rStyle w:val="a5"/>
          <w:rtl/>
        </w:rPr>
        <w:footnoteReference w:id="1"/>
      </w:r>
      <w:r>
        <w:rPr>
          <w:rFonts w:hint="cs"/>
          <w:rtl/>
        </w:rPr>
        <w:t xml:space="preserve"> שקבע כי </w:t>
      </w:r>
      <w:r w:rsidR="00CA7C29">
        <w:rPr>
          <w:rFonts w:hint="cs"/>
          <w:rtl/>
        </w:rPr>
        <w:t>אין זכות ערעור על החלטה בדבר</w:t>
      </w:r>
      <w:r w:rsidR="00F67F07">
        <w:rPr>
          <w:rFonts w:hint="cs"/>
          <w:rtl/>
        </w:rPr>
        <w:t xml:space="preserve"> </w:t>
      </w:r>
      <w:r w:rsidR="00CA7C29">
        <w:rPr>
          <w:rFonts w:hint="cs"/>
          <w:rtl/>
        </w:rPr>
        <w:t>עיכוב ביצוע של פסק דין משמעתי</w:t>
      </w:r>
      <w:r>
        <w:rPr>
          <w:rFonts w:hint="cs"/>
          <w:rtl/>
        </w:rPr>
        <w:t>. כפי שאסביר להלן, החלטה זו</w:t>
      </w:r>
      <w:r w:rsidR="00CA7C29">
        <w:rPr>
          <w:rFonts w:hint="cs"/>
          <w:rtl/>
        </w:rPr>
        <w:t xml:space="preserve"> שגויה מיסודה, וכי </w:t>
      </w:r>
      <w:r w:rsidR="00F21F0F">
        <w:rPr>
          <w:rFonts w:hint="cs"/>
          <w:rtl/>
        </w:rPr>
        <w:t>בסעיף 72 לחוק לשכת עורכי הדין</w:t>
      </w:r>
      <w:r w:rsidR="00F67F07">
        <w:rPr>
          <w:rFonts w:hint="cs"/>
          <w:rtl/>
        </w:rPr>
        <w:t xml:space="preserve"> [להלן: </w:t>
      </w:r>
      <w:r w:rsidR="00F67F07" w:rsidRPr="004B6958">
        <w:rPr>
          <w:rFonts w:hint="cs"/>
          <w:b/>
          <w:bCs/>
          <w:rtl/>
        </w:rPr>
        <w:t>חוק</w:t>
      </w:r>
      <w:r w:rsidR="00F67F07">
        <w:rPr>
          <w:rFonts w:hint="cs"/>
          <w:b/>
          <w:bCs/>
          <w:rtl/>
        </w:rPr>
        <w:t xml:space="preserve"> הלשכה</w:t>
      </w:r>
      <w:r w:rsidR="00F67F07">
        <w:rPr>
          <w:rFonts w:hint="cs"/>
          <w:rtl/>
        </w:rPr>
        <w:t>]</w:t>
      </w:r>
      <w:r w:rsidR="00F21F0F">
        <w:rPr>
          <w:rFonts w:hint="cs"/>
          <w:rtl/>
        </w:rPr>
        <w:t xml:space="preserve"> נקבעה</w:t>
      </w:r>
      <w:r w:rsidR="00CA7C29">
        <w:rPr>
          <w:rFonts w:hint="cs"/>
          <w:rtl/>
        </w:rPr>
        <w:t xml:space="preserve"> זכות ערעור על החלטה </w:t>
      </w:r>
      <w:r w:rsidR="00F21F0F">
        <w:rPr>
          <w:rFonts w:hint="cs"/>
          <w:rtl/>
        </w:rPr>
        <w:t>לעכב ביצועו של עונש שהטיל בית דין משמעתי במסגרת ערעור על פסק הדין</w:t>
      </w:r>
      <w:r w:rsidR="00CA7C29">
        <w:rPr>
          <w:rFonts w:hint="cs"/>
          <w:rtl/>
        </w:rPr>
        <w:t>.</w:t>
      </w:r>
    </w:p>
    <w:p w:rsidR="00CA7C29" w:rsidRDefault="00B77842" w:rsidP="004B6958">
      <w:pPr>
        <w:jc w:val="both"/>
        <w:rPr>
          <w:rtl/>
        </w:rPr>
      </w:pPr>
      <w:r>
        <w:rPr>
          <w:rFonts w:hint="cs"/>
          <w:rtl/>
        </w:rPr>
        <w:t xml:space="preserve">באותו מקרה, הורשע עו"ד </w:t>
      </w:r>
      <w:proofErr w:type="spellStart"/>
      <w:r>
        <w:rPr>
          <w:rFonts w:hint="cs"/>
          <w:rtl/>
        </w:rPr>
        <w:t>שטרצר</w:t>
      </w:r>
      <w:proofErr w:type="spellEnd"/>
      <w:r>
        <w:rPr>
          <w:rFonts w:hint="cs"/>
          <w:rtl/>
        </w:rPr>
        <w:t xml:space="preserve"> בדין המשמעתי </w:t>
      </w:r>
      <w:r w:rsidR="00000270">
        <w:rPr>
          <w:rFonts w:hint="cs"/>
          <w:rtl/>
        </w:rPr>
        <w:t xml:space="preserve">בשנת 2014 </w:t>
      </w:r>
      <w:r w:rsidR="00D13D20">
        <w:rPr>
          <w:rFonts w:hint="cs"/>
          <w:rtl/>
        </w:rPr>
        <w:t xml:space="preserve">בגין קובלנה שהוגשה בשנת 2012, </w:t>
      </w:r>
      <w:r w:rsidR="00CA7C29">
        <w:rPr>
          <w:rFonts w:hint="cs"/>
          <w:rtl/>
        </w:rPr>
        <w:t>ונגזרו עליו 7 שנות השעיה</w:t>
      </w:r>
      <w:r w:rsidR="00A103A4">
        <w:rPr>
          <w:rFonts w:hint="cs"/>
          <w:rtl/>
        </w:rPr>
        <w:t>.</w:t>
      </w:r>
      <w:r w:rsidR="00000270">
        <w:rPr>
          <w:rStyle w:val="a5"/>
          <w:rtl/>
        </w:rPr>
        <w:footnoteReference w:id="2"/>
      </w:r>
      <w:r w:rsidR="00CA7C29">
        <w:rPr>
          <w:rFonts w:hint="cs"/>
          <w:rtl/>
        </w:rPr>
        <w:t xml:space="preserve"> </w:t>
      </w:r>
      <w:r w:rsidR="00000270">
        <w:rPr>
          <w:rFonts w:hint="cs"/>
          <w:rtl/>
        </w:rPr>
        <w:t xml:space="preserve">חלק מן העבירות נעברו כבר בשנת 2003. </w:t>
      </w:r>
      <w:r w:rsidR="00CA7C29">
        <w:rPr>
          <w:rFonts w:hint="cs"/>
          <w:rtl/>
        </w:rPr>
        <w:t xml:space="preserve">עורך הדין הגיש ערעור לבית הדין הארצי, וכן בקשה לעיכוב ביצוע. בית הדין דחה את הבקשה לעיכוב ביצוע ולא נעתר אף לבקשה לעיון מחדש. לפיכך הגיש עורך הדין </w:t>
      </w:r>
      <w:r w:rsidR="00A103A4">
        <w:rPr>
          <w:rFonts w:hint="cs"/>
          <w:rtl/>
        </w:rPr>
        <w:t xml:space="preserve">לבית המשפט המחוזי בירושלים </w:t>
      </w:r>
      <w:r w:rsidR="00CA7C29">
        <w:rPr>
          <w:rFonts w:hint="cs"/>
          <w:rtl/>
        </w:rPr>
        <w:t>ערעור על ההחלטה שלא לעכב את ביצוע פסק הדין, בטענה שהנזק שיגרם לו יהיה בלתי הפיך ושבנסיבותיו האישיות המיוחדות ולנוכח המועד הקרוב לשמיעת הערעור</w:t>
      </w:r>
      <w:r w:rsidR="00A103A4">
        <w:rPr>
          <w:rFonts w:hint="cs"/>
          <w:rtl/>
        </w:rPr>
        <w:t xml:space="preserve"> בבית הדין הארצי</w:t>
      </w:r>
      <w:r w:rsidR="00CA7C29">
        <w:rPr>
          <w:rFonts w:hint="cs"/>
          <w:rtl/>
        </w:rPr>
        <w:t xml:space="preserve"> יש מקום לעכב את ביצוע עונש ההשעיה</w:t>
      </w:r>
      <w:r w:rsidR="00A103A4">
        <w:rPr>
          <w:rFonts w:hint="cs"/>
          <w:rtl/>
        </w:rPr>
        <w:t xml:space="preserve"> עד לאחר הערעור</w:t>
      </w:r>
      <w:r w:rsidR="00CA7C29">
        <w:rPr>
          <w:rFonts w:hint="cs"/>
          <w:rtl/>
        </w:rPr>
        <w:t>.</w:t>
      </w:r>
    </w:p>
    <w:p w:rsidR="00CA7C29" w:rsidRDefault="00CA7C29" w:rsidP="004B6958">
      <w:pPr>
        <w:jc w:val="both"/>
        <w:rPr>
          <w:rtl/>
        </w:rPr>
      </w:pPr>
      <w:r>
        <w:rPr>
          <w:rFonts w:hint="cs"/>
          <w:rtl/>
        </w:rPr>
        <w:t xml:space="preserve">ועדת האתיקה </w:t>
      </w:r>
      <w:r w:rsidR="00A103A4">
        <w:rPr>
          <w:rFonts w:hint="cs"/>
          <w:rtl/>
        </w:rPr>
        <w:t>טענה ש</w:t>
      </w:r>
      <w:r>
        <w:rPr>
          <w:rFonts w:hint="cs"/>
          <w:rtl/>
        </w:rPr>
        <w:t>מדובר בהחלטת ביניים</w:t>
      </w:r>
      <w:r w:rsidR="00A103A4">
        <w:rPr>
          <w:rFonts w:hint="cs"/>
          <w:rtl/>
        </w:rPr>
        <w:t>,</w:t>
      </w:r>
      <w:r>
        <w:rPr>
          <w:rFonts w:hint="cs"/>
          <w:rtl/>
        </w:rPr>
        <w:t xml:space="preserve"> שאין עליה ערעור</w:t>
      </w:r>
      <w:r w:rsidR="00C22078">
        <w:rPr>
          <w:rFonts w:hint="cs"/>
          <w:rtl/>
        </w:rPr>
        <w:t xml:space="preserve"> ולכן אין לבית המשפט המחוזי סמכות לדון בתיק</w:t>
      </w:r>
      <w:r>
        <w:rPr>
          <w:rFonts w:hint="cs"/>
          <w:rtl/>
        </w:rPr>
        <w:t>.</w:t>
      </w:r>
      <w:r w:rsidR="00C22078">
        <w:rPr>
          <w:rFonts w:hint="cs"/>
          <w:rtl/>
        </w:rPr>
        <w:t xml:space="preserve"> עורך הדין השיב</w:t>
      </w:r>
      <w:r w:rsidR="00A103A4">
        <w:rPr>
          <w:rFonts w:hint="cs"/>
          <w:rtl/>
        </w:rPr>
        <w:t>,</w:t>
      </w:r>
      <w:r w:rsidR="00C22078">
        <w:rPr>
          <w:rFonts w:hint="cs"/>
          <w:rtl/>
        </w:rPr>
        <w:t xml:space="preserve"> שערעור על עיכוב ביצוע הוא הליך מקובל ושכיח וכי יש ללמוד גזירה שווה מסעיף 78 לחוק</w:t>
      </w:r>
      <w:r w:rsidR="00F67F07">
        <w:rPr>
          <w:rFonts w:hint="cs"/>
          <w:rtl/>
        </w:rPr>
        <w:t xml:space="preserve"> הלשכה</w:t>
      </w:r>
      <w:r w:rsidR="00C22078">
        <w:rPr>
          <w:rFonts w:hint="cs"/>
          <w:rtl/>
        </w:rPr>
        <w:t xml:space="preserve"> המקנה זכות ערעור על החלטות בעניין השעיה זמנית. </w:t>
      </w:r>
    </w:p>
    <w:p w:rsidR="00C22078" w:rsidRDefault="00C22078" w:rsidP="00873E67">
      <w:pPr>
        <w:jc w:val="both"/>
        <w:rPr>
          <w:rtl/>
        </w:rPr>
      </w:pPr>
      <w:r>
        <w:rPr>
          <w:rFonts w:hint="cs"/>
          <w:rtl/>
        </w:rPr>
        <w:t>בית המשפט המחוזי קיבל את עמדת הלשכה, שמדובר בהחלטת ביניים ולכן שאין יסוד בדין להגשת הערעור ולפיכך דחה על הסף את הערעור.</w:t>
      </w:r>
      <w:r w:rsidR="00873E67">
        <w:rPr>
          <w:rFonts w:hint="cs"/>
          <w:rtl/>
        </w:rPr>
        <w:t xml:space="preserve"> בית המשפט המחוזי הוסיף שאף במסגרת הליכים פליליים אין לערכאת הערעור סמכות לדון בבקשות רשות לערער על החלטות ביניים.</w:t>
      </w:r>
    </w:p>
    <w:p w:rsidR="005B5CA7" w:rsidRDefault="00C22078" w:rsidP="004B6958">
      <w:pPr>
        <w:jc w:val="both"/>
        <w:rPr>
          <w:rtl/>
        </w:rPr>
      </w:pPr>
      <w:r>
        <w:rPr>
          <w:rFonts w:hint="cs"/>
          <w:rtl/>
        </w:rPr>
        <w:t xml:space="preserve">עיון בחוק לשכת עורכי הדין מלמד שהחלטת בית המשפט המחוזי בטעות יסודה. </w:t>
      </w:r>
      <w:r w:rsidR="005B5CA7">
        <w:rPr>
          <w:rFonts w:hint="cs"/>
          <w:rtl/>
        </w:rPr>
        <w:t xml:space="preserve">סעיף 72 לחוק </w:t>
      </w:r>
      <w:r w:rsidR="00F67F07">
        <w:rPr>
          <w:rFonts w:hint="cs"/>
          <w:rtl/>
        </w:rPr>
        <w:t xml:space="preserve">הלשכה </w:t>
      </w:r>
      <w:r w:rsidR="000E0926">
        <w:rPr>
          <w:rFonts w:hint="cs"/>
          <w:rtl/>
        </w:rPr>
        <w:t xml:space="preserve">(כפי שתוקן בשנת 2008) </w:t>
      </w:r>
      <w:r w:rsidR="005B5CA7">
        <w:rPr>
          <w:rFonts w:hint="cs"/>
          <w:rtl/>
        </w:rPr>
        <w:t xml:space="preserve">קובע </w:t>
      </w:r>
      <w:r>
        <w:rPr>
          <w:rFonts w:hint="cs"/>
          <w:rtl/>
        </w:rPr>
        <w:t>זכות זו במפורש</w:t>
      </w:r>
      <w:r w:rsidR="000E0926">
        <w:rPr>
          <w:rFonts w:hint="cs"/>
          <w:rtl/>
        </w:rPr>
        <w:t>:</w:t>
      </w:r>
      <w:r w:rsidR="005B5CA7">
        <w:rPr>
          <w:rFonts w:hint="cs"/>
          <w:rtl/>
        </w:rPr>
        <w:t xml:space="preserve"> </w:t>
      </w:r>
    </w:p>
    <w:p w:rsidR="000E0926" w:rsidRDefault="000E0926" w:rsidP="000E0926">
      <w:pPr>
        <w:pStyle w:val="p00"/>
        <w:bidi/>
        <w:spacing w:before="72" w:beforeAutospacing="0" w:after="0" w:afterAutospacing="0"/>
        <w:ind w:left="720" w:right="1134"/>
        <w:jc w:val="both"/>
        <w:rPr>
          <w:color w:val="000000"/>
          <w:sz w:val="20"/>
          <w:szCs w:val="20"/>
        </w:rPr>
      </w:pPr>
      <w:r>
        <w:rPr>
          <w:rStyle w:val="default"/>
          <w:rFonts w:cs="FrankRuehl" w:hint="cs"/>
          <w:color w:val="000000"/>
          <w:sz w:val="26"/>
          <w:szCs w:val="26"/>
          <w:rtl/>
        </w:rPr>
        <w:t>(א) </w:t>
      </w:r>
      <w:r>
        <w:rPr>
          <w:rStyle w:val="apple-converted-space"/>
          <w:rFonts w:cs="FrankRuehl" w:hint="cs"/>
          <w:color w:val="000000"/>
          <w:sz w:val="26"/>
          <w:szCs w:val="26"/>
          <w:rtl/>
        </w:rPr>
        <w:t> </w:t>
      </w:r>
      <w:r>
        <w:rPr>
          <w:rStyle w:val="default"/>
          <w:rFonts w:cs="FrankRuehl" w:hint="cs"/>
          <w:color w:val="000000"/>
          <w:sz w:val="26"/>
          <w:szCs w:val="26"/>
          <w:rtl/>
        </w:rPr>
        <w:t>ביצועו של פסק דין של בית דין משמעתי, לא יעוכב רק בשל כך שאפשר לערער על פסק הדין או שעוד לא תמו כל ההליכים בערעור שהוגש על פסק הדין.</w:t>
      </w:r>
    </w:p>
    <w:p w:rsidR="000E0926" w:rsidRDefault="000E0926" w:rsidP="00233291">
      <w:pPr>
        <w:pStyle w:val="p00"/>
        <w:bidi/>
        <w:spacing w:before="72" w:beforeAutospacing="0" w:after="0" w:afterAutospacing="0"/>
        <w:ind w:left="720" w:right="1134"/>
        <w:jc w:val="both"/>
        <w:rPr>
          <w:color w:val="000000"/>
          <w:sz w:val="20"/>
          <w:szCs w:val="20"/>
          <w:rtl/>
        </w:rPr>
      </w:pPr>
      <w:r>
        <w:rPr>
          <w:rStyle w:val="default"/>
          <w:rFonts w:cs="FrankRuehl" w:hint="cs"/>
          <w:color w:val="000000"/>
          <w:sz w:val="26"/>
          <w:szCs w:val="26"/>
          <w:rtl/>
        </w:rPr>
        <w:t xml:space="preserve"> (א1)</w:t>
      </w:r>
      <w:r>
        <w:rPr>
          <w:rStyle w:val="apple-converted-space"/>
          <w:rFonts w:cs="FrankRuehl" w:hint="cs"/>
          <w:color w:val="000000"/>
          <w:sz w:val="26"/>
          <w:szCs w:val="26"/>
          <w:rtl/>
        </w:rPr>
        <w:t> </w:t>
      </w:r>
      <w:r>
        <w:rPr>
          <w:rStyle w:val="default"/>
          <w:rFonts w:cs="FrankRuehl" w:hint="cs"/>
          <w:color w:val="000000"/>
          <w:sz w:val="26"/>
          <w:szCs w:val="26"/>
          <w:rtl/>
        </w:rPr>
        <w:t>בית הדין המשמעתי, ואם הוגש ערעור – בית הדין שלערעור או בית המשפט שלערעור, רשאי להורות על עיכוב ביצועו של פסק דין של בית הדין המשמעתי עד להכרעה בערעור או עד למועד מוקדם מזה שיקבע, בתנאים שיקבע או בלא תנאים.</w:t>
      </w:r>
    </w:p>
    <w:p w:rsidR="000E0926" w:rsidRDefault="000E0926" w:rsidP="000E0926">
      <w:pPr>
        <w:pStyle w:val="p00"/>
        <w:bidi/>
        <w:spacing w:before="72" w:beforeAutospacing="0" w:after="0" w:afterAutospacing="0"/>
        <w:ind w:left="720" w:right="1134"/>
        <w:jc w:val="both"/>
        <w:rPr>
          <w:color w:val="000000"/>
          <w:sz w:val="20"/>
          <w:szCs w:val="20"/>
          <w:rtl/>
        </w:rPr>
      </w:pPr>
      <w:r>
        <w:rPr>
          <w:rStyle w:val="default"/>
          <w:rFonts w:cs="FrankRuehl" w:hint="cs"/>
          <w:color w:val="000000"/>
          <w:sz w:val="26"/>
          <w:szCs w:val="26"/>
          <w:rtl/>
        </w:rPr>
        <w:t xml:space="preserve"> (ב) </w:t>
      </w:r>
      <w:r>
        <w:rPr>
          <w:rStyle w:val="apple-converted-space"/>
          <w:rFonts w:cs="FrankRuehl" w:hint="cs"/>
          <w:color w:val="000000"/>
          <w:sz w:val="26"/>
          <w:szCs w:val="26"/>
          <w:rtl/>
        </w:rPr>
        <w:t> </w:t>
      </w:r>
      <w:r>
        <w:rPr>
          <w:rStyle w:val="default"/>
          <w:rFonts w:cs="FrankRuehl" w:hint="cs"/>
          <w:color w:val="000000"/>
          <w:sz w:val="26"/>
          <w:szCs w:val="26"/>
          <w:rtl/>
        </w:rPr>
        <w:t>פסק דין מרשיע שאין עליו עוד ערעור, רשאי בית הדין המשמעתי שהטיל את העונש, ואם היה ערעור - בית הדין המשמעתי או בית המשפט שהכריע בערעור, לדחות, מטעמים שיירשמו, את ביצועו, כולו או חלקו, למועד שיקבע, בתנאים שיקבע או ללא תנאים.</w:t>
      </w:r>
    </w:p>
    <w:p w:rsidR="000E0926" w:rsidRDefault="000E0926" w:rsidP="000E0926">
      <w:pPr>
        <w:pStyle w:val="p00"/>
        <w:bidi/>
        <w:spacing w:before="72" w:beforeAutospacing="0" w:after="0" w:afterAutospacing="0"/>
        <w:ind w:left="720" w:right="1134"/>
        <w:jc w:val="both"/>
        <w:rPr>
          <w:color w:val="000000"/>
          <w:sz w:val="20"/>
          <w:szCs w:val="20"/>
          <w:rtl/>
        </w:rPr>
      </w:pPr>
      <w:r>
        <w:rPr>
          <w:rStyle w:val="default"/>
          <w:rFonts w:cs="FrankRuehl" w:hint="cs"/>
          <w:color w:val="000000"/>
          <w:sz w:val="26"/>
          <w:szCs w:val="26"/>
          <w:rtl/>
        </w:rPr>
        <w:t xml:space="preserve"> (ג)  </w:t>
      </w:r>
      <w:r>
        <w:rPr>
          <w:rStyle w:val="apple-converted-space"/>
          <w:rFonts w:cs="FrankRuehl" w:hint="cs"/>
          <w:color w:val="000000"/>
          <w:sz w:val="26"/>
          <w:szCs w:val="26"/>
          <w:rtl/>
        </w:rPr>
        <w:t> </w:t>
      </w:r>
      <w:r>
        <w:rPr>
          <w:rStyle w:val="default"/>
          <w:rFonts w:cs="FrankRuehl" w:hint="cs"/>
          <w:color w:val="000000"/>
          <w:sz w:val="26"/>
          <w:szCs w:val="26"/>
          <w:rtl/>
        </w:rPr>
        <w:t>על החלטה לפי סעיף זה יחולו הוראות סעיפים 70 ו-71.</w:t>
      </w:r>
    </w:p>
    <w:p w:rsidR="00A449FC" w:rsidRDefault="00A449FC" w:rsidP="00233291">
      <w:pPr>
        <w:jc w:val="both"/>
        <w:rPr>
          <w:rtl/>
        </w:rPr>
      </w:pPr>
    </w:p>
    <w:p w:rsidR="00233291" w:rsidRDefault="00A103A4" w:rsidP="00313314">
      <w:pPr>
        <w:jc w:val="both"/>
        <w:rPr>
          <w:rtl/>
        </w:rPr>
      </w:pPr>
      <w:r>
        <w:rPr>
          <w:rFonts w:hint="cs"/>
          <w:rtl/>
        </w:rPr>
        <w:t>סעיף 70 לחוק</w:t>
      </w:r>
      <w:r w:rsidR="00F67F07">
        <w:rPr>
          <w:rFonts w:hint="cs"/>
          <w:rtl/>
        </w:rPr>
        <w:t xml:space="preserve"> הלשכה</w:t>
      </w:r>
      <w:r>
        <w:rPr>
          <w:rFonts w:hint="cs"/>
          <w:rtl/>
        </w:rPr>
        <w:t xml:space="preserve"> קובע את זכות הערעור על החלטת בית דין משמעתי לבית הדין הארצי לערעורים, וסעיף 71 קובע את זכות הערעור על פסק דין של בית הדין הארצי לבית המשפט המחוזי </w:t>
      </w:r>
      <w:r>
        <w:rPr>
          <w:rFonts w:hint="cs"/>
          <w:rtl/>
        </w:rPr>
        <w:lastRenderedPageBreak/>
        <w:t>בירושלים.</w:t>
      </w:r>
      <w:r w:rsidR="00313314">
        <w:rPr>
          <w:rFonts w:hint="cs"/>
          <w:rtl/>
        </w:rPr>
        <w:t xml:space="preserve"> כך ההסדר החוקי הוא שבית הדין הדן בערעור מוסמך לעכב את ביצועו של פסק הדין, ועל החלטתו בעניין עיכוב הביצוע יש זכות ערעור לבית המשפט המחוזי.</w:t>
      </w:r>
      <w:r w:rsidR="00F21F0F">
        <w:rPr>
          <w:rStyle w:val="a5"/>
          <w:rtl/>
        </w:rPr>
        <w:footnoteReference w:id="3"/>
      </w:r>
      <w:r w:rsidR="00233291">
        <w:rPr>
          <w:rFonts w:hint="cs"/>
          <w:rtl/>
        </w:rPr>
        <w:t xml:space="preserve"> </w:t>
      </w:r>
      <w:r>
        <w:rPr>
          <w:rFonts w:hint="cs"/>
          <w:rtl/>
        </w:rPr>
        <w:t xml:space="preserve"> </w:t>
      </w:r>
    </w:p>
    <w:p w:rsidR="00983DCE" w:rsidRDefault="00983DCE" w:rsidP="00CB2944">
      <w:pPr>
        <w:jc w:val="both"/>
        <w:rPr>
          <w:rtl/>
        </w:rPr>
      </w:pPr>
      <w:r>
        <w:rPr>
          <w:rFonts w:hint="cs"/>
          <w:rtl/>
        </w:rPr>
        <w:t>דומה, שבית המשפט המחוזי התעלם מההוראות החדשות שנחקקו במסגרת תיקון 32 לחוק לשכת עורכי הדין</w:t>
      </w:r>
      <w:r w:rsidR="00E25CD4">
        <w:rPr>
          <w:rFonts w:hint="cs"/>
          <w:rtl/>
        </w:rPr>
        <w:t xml:space="preserve"> ונכנסו לתוקף בתחילת שנת 2010</w:t>
      </w:r>
      <w:r>
        <w:rPr>
          <w:rFonts w:hint="cs"/>
          <w:rtl/>
        </w:rPr>
        <w:t>.</w:t>
      </w:r>
      <w:r w:rsidR="00E42C64">
        <w:rPr>
          <w:rStyle w:val="a5"/>
          <w:rtl/>
        </w:rPr>
        <w:footnoteReference w:id="4"/>
      </w:r>
      <w:r>
        <w:rPr>
          <w:rFonts w:hint="cs"/>
          <w:rtl/>
        </w:rPr>
        <w:t xml:space="preserve"> עד לתיקון זה, הכלל היה ש</w:t>
      </w:r>
      <w:r w:rsidR="00CB2944">
        <w:rPr>
          <w:rFonts w:hint="cs"/>
          <w:rtl/>
        </w:rPr>
        <w:t>"</w:t>
      </w:r>
      <w:r>
        <w:rPr>
          <w:rFonts w:hint="cs"/>
          <w:rtl/>
        </w:rPr>
        <w:t xml:space="preserve">עונש </w:t>
      </w:r>
      <w:r w:rsidR="00CB2944">
        <w:rPr>
          <w:rFonts w:hint="cs"/>
          <w:rtl/>
        </w:rPr>
        <w:t xml:space="preserve">שהוטל על ידי בית דין משמעתי ... לא יבוצע כל עוד אפשר לערער על פסק הדין, ואם הוגש ערעור </w:t>
      </w:r>
      <w:r w:rsidR="00CB2944">
        <w:rPr>
          <w:rtl/>
        </w:rPr>
        <w:t>–</w:t>
      </w:r>
      <w:r w:rsidR="00CB2944">
        <w:rPr>
          <w:rFonts w:hint="cs"/>
          <w:rtl/>
        </w:rPr>
        <w:t xml:space="preserve"> כל עוד לא תמו כל ההליכים </w:t>
      </w:r>
      <w:proofErr w:type="spellStart"/>
      <w:r w:rsidR="00CB2944">
        <w:rPr>
          <w:rFonts w:hint="cs"/>
          <w:rtl/>
        </w:rPr>
        <w:t>בענין</w:t>
      </w:r>
      <w:proofErr w:type="spellEnd"/>
      <w:r w:rsidR="00CB2944">
        <w:rPr>
          <w:rFonts w:hint="cs"/>
          <w:rtl/>
        </w:rPr>
        <w:t>."</w:t>
      </w:r>
      <w:r>
        <w:rPr>
          <w:rStyle w:val="a5"/>
          <w:rtl/>
        </w:rPr>
        <w:footnoteReference w:id="5"/>
      </w:r>
      <w:r>
        <w:rPr>
          <w:rFonts w:hint="cs"/>
          <w:rtl/>
        </w:rPr>
        <w:t xml:space="preserve"> במקביל ניתנה לקובל בסעיף 78(א) לחוק (בנוסחו עד לתיקון) סמכות לבקש השעיה זמנית במקרים מתאימים. על החלטה להשעיה זמנית נקבעה זכות ערעור (בסעיף 78(ו)</w:t>
      </w:r>
      <w:r w:rsidR="001E2573">
        <w:rPr>
          <w:rFonts w:hint="cs"/>
          <w:rtl/>
        </w:rPr>
        <w:t>)</w:t>
      </w:r>
      <w:r>
        <w:rPr>
          <w:rFonts w:hint="cs"/>
          <w:rtl/>
        </w:rPr>
        <w:t>.</w:t>
      </w:r>
    </w:p>
    <w:p w:rsidR="00313314" w:rsidRDefault="00313314" w:rsidP="00E42C64">
      <w:pPr>
        <w:jc w:val="both"/>
        <w:rPr>
          <w:rtl/>
        </w:rPr>
      </w:pPr>
      <w:r>
        <w:rPr>
          <w:rFonts w:hint="cs"/>
          <w:rtl/>
        </w:rPr>
        <w:t xml:space="preserve">בתיקון 32 שונה ההסדר. סעיף 72 שונה לחלוטין </w:t>
      </w:r>
      <w:r w:rsidR="00E42C64">
        <w:rPr>
          <w:rFonts w:hint="cs"/>
          <w:rtl/>
        </w:rPr>
        <w:t>ונקבע בו ההסדר עיכוב ביצוע המובא לעיל, ו</w:t>
      </w:r>
      <w:r>
        <w:rPr>
          <w:rFonts w:hint="cs"/>
          <w:rtl/>
        </w:rPr>
        <w:t>סעיף 78(א)</w:t>
      </w:r>
      <w:r w:rsidR="00E42C64">
        <w:rPr>
          <w:rFonts w:hint="cs"/>
          <w:rtl/>
        </w:rPr>
        <w:t xml:space="preserve"> בוטל</w:t>
      </w:r>
      <w:r>
        <w:rPr>
          <w:rFonts w:hint="cs"/>
          <w:rtl/>
        </w:rPr>
        <w:t>. כך, ברירת המחדל הפכה להיות ביצוע מידי של עונש השעיה, ובמקביל נקבע הסדר מפורט של עיכוב ביצוע הכולל ערעור  בזכות.</w:t>
      </w:r>
    </w:p>
    <w:p w:rsidR="00E42C64" w:rsidRDefault="00E42C64" w:rsidP="004B6958">
      <w:pPr>
        <w:jc w:val="both"/>
        <w:rPr>
          <w:rtl/>
        </w:rPr>
      </w:pPr>
      <w:r>
        <w:rPr>
          <w:rFonts w:hint="cs"/>
          <w:rtl/>
        </w:rPr>
        <w:t xml:space="preserve">בסעיף 27(ה) לתיקון 32 נקבע כי הוראות סעיפים 72 ו-78 המתוקנים יהיו בעלי תחולה מידית לגבי כל קובלנה שטרם ניתן בעניינה פסק דין של בית דין משמעתי. </w:t>
      </w:r>
      <w:r w:rsidR="00E25CD4">
        <w:rPr>
          <w:rFonts w:hint="cs"/>
          <w:rtl/>
        </w:rPr>
        <w:t xml:space="preserve">לכן </w:t>
      </w:r>
      <w:r>
        <w:rPr>
          <w:rFonts w:hint="cs"/>
          <w:rtl/>
        </w:rPr>
        <w:t xml:space="preserve">ברור שעל ההליך </w:t>
      </w:r>
      <w:r w:rsidR="00E25CD4">
        <w:rPr>
          <w:rFonts w:hint="cs"/>
          <w:rtl/>
        </w:rPr>
        <w:t xml:space="preserve">בעניין עו"ד </w:t>
      </w:r>
      <w:proofErr w:type="spellStart"/>
      <w:r w:rsidR="00E25CD4">
        <w:rPr>
          <w:rFonts w:hint="cs"/>
          <w:rtl/>
        </w:rPr>
        <w:t>שטרצר</w:t>
      </w:r>
      <w:proofErr w:type="spellEnd"/>
      <w:r>
        <w:rPr>
          <w:rFonts w:hint="cs"/>
          <w:rtl/>
        </w:rPr>
        <w:t xml:space="preserve"> שהוגש בשנת 2012 חל החוק המתוקן.</w:t>
      </w:r>
    </w:p>
    <w:p w:rsidR="00E42C64" w:rsidRDefault="00313314" w:rsidP="004B6958">
      <w:pPr>
        <w:jc w:val="both"/>
        <w:rPr>
          <w:rtl/>
        </w:rPr>
      </w:pPr>
      <w:r>
        <w:rPr>
          <w:rFonts w:hint="cs"/>
          <w:rtl/>
        </w:rPr>
        <w:t xml:space="preserve">בית המשפט המחוזי פסח על שני הסעיפים. מצד אחד </w:t>
      </w:r>
      <w:r w:rsidR="00E42C64">
        <w:rPr>
          <w:rFonts w:hint="cs"/>
          <w:rtl/>
        </w:rPr>
        <w:t>הוא יצא מנקודת הנחה נכונה שברירת המחדל היא ביצוע מידי וכדי לעכב את הביצוע יש להגיש בקשה מתאימה. מצד שני, בית המשפט המחוזי התעלם לחלוטין מן ההסדר האמור לעיל בסעיף 72 המתוקן, הפנה בהנמקתו לסעיף 78(א) שבוטל בתיקון, ואף מצא משען ב</w:t>
      </w:r>
      <w:r>
        <w:rPr>
          <w:rFonts w:hint="cs"/>
          <w:rtl/>
        </w:rPr>
        <w:t>פסק דין</w:t>
      </w:r>
      <w:r w:rsidR="00171DB4">
        <w:rPr>
          <w:rFonts w:hint="cs"/>
          <w:rtl/>
        </w:rPr>
        <w:t xml:space="preserve"> </w:t>
      </w:r>
      <w:r w:rsidR="00E42C64">
        <w:rPr>
          <w:rFonts w:hint="cs"/>
          <w:rtl/>
        </w:rPr>
        <w:t xml:space="preserve">משנת 2002 </w:t>
      </w:r>
      <w:r w:rsidR="00E25CD4">
        <w:rPr>
          <w:rFonts w:hint="cs"/>
          <w:rtl/>
        </w:rPr>
        <w:t xml:space="preserve">בטרם תוקן החוק </w:t>
      </w:r>
      <w:r w:rsidR="00E42C64">
        <w:rPr>
          <w:rFonts w:hint="cs"/>
          <w:rtl/>
        </w:rPr>
        <w:t xml:space="preserve">(פרשת </w:t>
      </w:r>
      <w:proofErr w:type="spellStart"/>
      <w:r w:rsidR="00E42C64">
        <w:rPr>
          <w:rFonts w:hint="cs"/>
          <w:rtl/>
        </w:rPr>
        <w:t>אזוגי</w:t>
      </w:r>
      <w:proofErr w:type="spellEnd"/>
      <w:r w:rsidR="00E42C64">
        <w:rPr>
          <w:rFonts w:hint="cs"/>
          <w:rtl/>
        </w:rPr>
        <w:t>)</w:t>
      </w:r>
      <w:r>
        <w:rPr>
          <w:rFonts w:hint="cs"/>
          <w:rtl/>
        </w:rPr>
        <w:t>, העוסק בשאלת זכות הערעור על בקשה להשעיה זמנית</w:t>
      </w:r>
      <w:r w:rsidR="004B6958">
        <w:rPr>
          <w:rFonts w:hint="cs"/>
          <w:rtl/>
        </w:rPr>
        <w:t>(הליך שבוטל בתיקון 32 לחוק הלשכה)</w:t>
      </w:r>
      <w:r>
        <w:rPr>
          <w:rFonts w:hint="cs"/>
          <w:rtl/>
        </w:rPr>
        <w:t>.</w:t>
      </w:r>
      <w:r>
        <w:rPr>
          <w:rStyle w:val="a5"/>
          <w:rtl/>
        </w:rPr>
        <w:footnoteReference w:id="6"/>
      </w:r>
      <w:r>
        <w:rPr>
          <w:rFonts w:hint="cs"/>
          <w:rtl/>
        </w:rPr>
        <w:t xml:space="preserve"> </w:t>
      </w:r>
      <w:r w:rsidR="00171DB4">
        <w:rPr>
          <w:rFonts w:hint="cs"/>
          <w:rtl/>
        </w:rPr>
        <w:t xml:space="preserve"> </w:t>
      </w:r>
      <w:r w:rsidR="00E42C64">
        <w:rPr>
          <w:rFonts w:hint="cs"/>
          <w:rtl/>
        </w:rPr>
        <w:t xml:space="preserve"> </w:t>
      </w:r>
    </w:p>
    <w:p w:rsidR="00804FC8" w:rsidRDefault="00E42C64" w:rsidP="00D13D20">
      <w:pPr>
        <w:jc w:val="both"/>
        <w:rPr>
          <w:rtl/>
        </w:rPr>
      </w:pPr>
      <w:r>
        <w:rPr>
          <w:rFonts w:hint="cs"/>
          <w:rtl/>
        </w:rPr>
        <w:t xml:space="preserve">קשה להלום את קביעתו של בית המשפט המחוזי (ואף את עמדתה של ועדת האתיקה המחוזית בדיון בערעור). הקביעה שאין זכות לערער על החלטה בעניין עיכוב ביצוע מנוגדת חזיתית ללשון החוק. </w:t>
      </w:r>
      <w:r w:rsidR="00804FC8">
        <w:rPr>
          <w:rFonts w:hint="cs"/>
          <w:rtl/>
        </w:rPr>
        <w:t>מדובר בשגיאה על פני הפסק.</w:t>
      </w:r>
    </w:p>
    <w:p w:rsidR="00804FC8" w:rsidRDefault="00873E67" w:rsidP="004B6958">
      <w:pPr>
        <w:jc w:val="both"/>
        <w:rPr>
          <w:rtl/>
        </w:rPr>
      </w:pPr>
      <w:r>
        <w:rPr>
          <w:rFonts w:hint="cs"/>
          <w:rtl/>
        </w:rPr>
        <w:t xml:space="preserve">גם נימוקו החלופי של בית המשפט </w:t>
      </w:r>
      <w:proofErr w:type="spellStart"/>
      <w:r>
        <w:rPr>
          <w:rFonts w:hint="cs"/>
          <w:rtl/>
        </w:rPr>
        <w:t>המחוזי</w:t>
      </w:r>
      <w:r w:rsidR="004B6958">
        <w:rPr>
          <w:rFonts w:hint="cs"/>
          <w:rtl/>
        </w:rPr>
        <w:t>כי</w:t>
      </w:r>
      <w:proofErr w:type="spellEnd"/>
      <w:r>
        <w:rPr>
          <w:rFonts w:hint="cs"/>
          <w:rtl/>
        </w:rPr>
        <w:t xml:space="preserve"> בהליכים פליליים אין ערעורים על הליכי ביניים, אינו יכול לעמוד. בסעיף 87 לחוק העונשין, התשל"ז-1977, נקבע במפורש כי החלטה בדבר מועד ביצוע עונש או דחיית המועד לביצועו ניתנת לערעור. גם אם מצא בית המשפט המחוזי שיש לבחון את הדברים מתוך גזירה שווה מן ההליך הפלילי (ובהתעלם מסעיף 72 לחוק </w:t>
      </w:r>
      <w:r w:rsidR="00AA3CA3">
        <w:rPr>
          <w:rFonts w:hint="cs"/>
          <w:rtl/>
        </w:rPr>
        <w:t>הלשכה</w:t>
      </w:r>
      <w:r>
        <w:rPr>
          <w:rFonts w:hint="cs"/>
          <w:rtl/>
        </w:rPr>
        <w:t>), היה עליו לקבוע שהחלטה בדבר עיכוב ביצוע ניתנת לערעור.</w:t>
      </w:r>
    </w:p>
    <w:p w:rsidR="00E42C64" w:rsidRDefault="00873E67" w:rsidP="00873E67">
      <w:pPr>
        <w:jc w:val="both"/>
        <w:rPr>
          <w:rtl/>
        </w:rPr>
      </w:pPr>
      <w:r>
        <w:rPr>
          <w:rFonts w:hint="cs"/>
          <w:rtl/>
        </w:rPr>
        <w:t xml:space="preserve">לסיכום, דומה שנפלה שגגה של ממש בפסק דינו של בית המשפט המחוזי. שגגה שיש להכיר בה, כדי שלא תשוב. זכות הערעור </w:t>
      </w:r>
      <w:r>
        <w:rPr>
          <w:rtl/>
        </w:rPr>
        <w:t>–</w:t>
      </w:r>
      <w:r>
        <w:rPr>
          <w:rFonts w:hint="cs"/>
          <w:rtl/>
        </w:rPr>
        <w:t xml:space="preserve"> הן בידי נאשם שהורשע והן בידי קובל </w:t>
      </w:r>
      <w:r>
        <w:rPr>
          <w:rtl/>
        </w:rPr>
        <w:t>–</w:t>
      </w:r>
      <w:r>
        <w:rPr>
          <w:rFonts w:hint="cs"/>
          <w:rtl/>
        </w:rPr>
        <w:t xml:space="preserve"> נקבעה בחוק הלשכה, והיא קיימת גם בהסדר הפלילי המקביל. זכות זו הולמת את תכליתה של הענישה המשמעתית ואת סדר הדין המשמעתי, ויש לקיימ</w:t>
      </w:r>
      <w:r w:rsidR="003425D4">
        <w:rPr>
          <w:rFonts w:hint="cs"/>
          <w:rtl/>
        </w:rPr>
        <w:t>ה</w:t>
      </w:r>
      <w:r>
        <w:rPr>
          <w:rFonts w:hint="cs"/>
          <w:rtl/>
        </w:rPr>
        <w:t>.</w:t>
      </w:r>
    </w:p>
    <w:p w:rsidR="00121F93" w:rsidRDefault="00121F93" w:rsidP="00873E67">
      <w:pPr>
        <w:jc w:val="both"/>
        <w:rPr>
          <w:rtl/>
        </w:rPr>
      </w:pPr>
    </w:p>
    <w:p w:rsidR="00121F93" w:rsidRDefault="00121F93" w:rsidP="00873E67">
      <w:pPr>
        <w:jc w:val="both"/>
        <w:rPr>
          <w:rtl/>
        </w:rPr>
      </w:pPr>
      <w:r>
        <w:rPr>
          <w:rFonts w:hint="cs"/>
          <w:rtl/>
        </w:rPr>
        <w:t>תל-אביב, 23.6.14.</w:t>
      </w:r>
    </w:p>
    <w:sectPr w:rsidR="00121F93" w:rsidSect="0051344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7AA" w:rsidRDefault="003177AA" w:rsidP="00233291">
      <w:pPr>
        <w:spacing w:after="0" w:line="240" w:lineRule="auto"/>
      </w:pPr>
      <w:r>
        <w:separator/>
      </w:r>
    </w:p>
  </w:endnote>
  <w:endnote w:type="continuationSeparator" w:id="0">
    <w:p w:rsidR="003177AA" w:rsidRDefault="003177AA" w:rsidP="00233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7AA" w:rsidRDefault="003177AA" w:rsidP="00233291">
      <w:pPr>
        <w:spacing w:after="0" w:line="240" w:lineRule="auto"/>
      </w:pPr>
      <w:r>
        <w:separator/>
      </w:r>
    </w:p>
  </w:footnote>
  <w:footnote w:type="continuationSeparator" w:id="0">
    <w:p w:rsidR="003177AA" w:rsidRDefault="003177AA" w:rsidP="00233291">
      <w:pPr>
        <w:spacing w:after="0" w:line="240" w:lineRule="auto"/>
      </w:pPr>
      <w:r>
        <w:continuationSeparator/>
      </w:r>
    </w:p>
  </w:footnote>
  <w:footnote w:id="1">
    <w:p w:rsidR="00252629" w:rsidRPr="004B6958" w:rsidRDefault="00252629" w:rsidP="00252629">
      <w:pPr>
        <w:pStyle w:val="a3"/>
        <w:rPr>
          <w:b/>
          <w:bCs/>
          <w:rtl/>
        </w:rPr>
      </w:pPr>
      <w:r w:rsidRPr="004B6958">
        <w:rPr>
          <w:b/>
          <w:bCs/>
          <w:rtl/>
        </w:rPr>
        <w:t xml:space="preserve">* </w:t>
      </w:r>
      <w:r w:rsidR="00B77842" w:rsidRPr="004B6958">
        <w:rPr>
          <w:rFonts w:hint="cs"/>
          <w:rtl/>
        </w:rPr>
        <w:t>עורך</w:t>
      </w:r>
      <w:r w:rsidR="00B77842" w:rsidRPr="004B6958">
        <w:rPr>
          <w:rtl/>
        </w:rPr>
        <w:t xml:space="preserve"> </w:t>
      </w:r>
      <w:r w:rsidR="00B77842" w:rsidRPr="004B6958">
        <w:rPr>
          <w:rFonts w:hint="cs"/>
          <w:rtl/>
        </w:rPr>
        <w:t>דין</w:t>
      </w:r>
      <w:r w:rsidR="00B77842" w:rsidRPr="004B6958">
        <w:rPr>
          <w:rtl/>
        </w:rPr>
        <w:t xml:space="preserve"> </w:t>
      </w:r>
      <w:r w:rsidR="00B77842" w:rsidRPr="004B6958">
        <w:rPr>
          <w:rFonts w:hint="cs"/>
          <w:rtl/>
        </w:rPr>
        <w:t>בתחום</w:t>
      </w:r>
      <w:r w:rsidR="00B77842" w:rsidRPr="004B6958">
        <w:rPr>
          <w:rtl/>
        </w:rPr>
        <w:t xml:space="preserve"> </w:t>
      </w:r>
      <w:r w:rsidR="00B77842" w:rsidRPr="004B6958">
        <w:rPr>
          <w:rFonts w:hint="cs"/>
          <w:rtl/>
        </w:rPr>
        <w:t>עבירות</w:t>
      </w:r>
      <w:r w:rsidR="00B77842" w:rsidRPr="004B6958">
        <w:rPr>
          <w:rtl/>
        </w:rPr>
        <w:t xml:space="preserve"> </w:t>
      </w:r>
      <w:r w:rsidR="00B77842" w:rsidRPr="004B6958">
        <w:rPr>
          <w:rFonts w:hint="cs"/>
          <w:rtl/>
        </w:rPr>
        <w:t>צווארון</w:t>
      </w:r>
      <w:r w:rsidR="00B77842" w:rsidRPr="004B6958">
        <w:rPr>
          <w:rtl/>
        </w:rPr>
        <w:t xml:space="preserve"> </w:t>
      </w:r>
      <w:r w:rsidR="00B77842" w:rsidRPr="004B6958">
        <w:rPr>
          <w:rFonts w:hint="cs"/>
          <w:rtl/>
        </w:rPr>
        <w:t>לבן</w:t>
      </w:r>
      <w:r w:rsidR="00B77842" w:rsidRPr="004B6958">
        <w:rPr>
          <w:rtl/>
        </w:rPr>
        <w:t xml:space="preserve"> </w:t>
      </w:r>
      <w:r w:rsidR="00B77842" w:rsidRPr="004B6958">
        <w:rPr>
          <w:rFonts w:hint="cs"/>
          <w:rtl/>
        </w:rPr>
        <w:t>ודין</w:t>
      </w:r>
      <w:r w:rsidR="00B77842" w:rsidRPr="004B6958">
        <w:rPr>
          <w:rtl/>
        </w:rPr>
        <w:t xml:space="preserve"> </w:t>
      </w:r>
      <w:r w:rsidR="00B77842" w:rsidRPr="004B6958">
        <w:rPr>
          <w:rFonts w:hint="cs"/>
          <w:rtl/>
        </w:rPr>
        <w:t>משמעתי</w:t>
      </w:r>
      <w:r w:rsidR="00B77842" w:rsidRPr="004B6958">
        <w:rPr>
          <w:rtl/>
        </w:rPr>
        <w:t>.</w:t>
      </w:r>
      <w:r w:rsidR="00B77842">
        <w:rPr>
          <w:rFonts w:hint="cs"/>
          <w:b/>
          <w:bCs/>
          <w:rtl/>
        </w:rPr>
        <w:t xml:space="preserve"> </w:t>
      </w:r>
      <w:r w:rsidR="00B77842" w:rsidRPr="004B6958">
        <w:rPr>
          <w:rFonts w:hint="cs"/>
          <w:rtl/>
        </w:rPr>
        <w:t>לשעבר</w:t>
      </w:r>
      <w:r w:rsidR="00B77842" w:rsidRPr="004B6958">
        <w:rPr>
          <w:rtl/>
        </w:rPr>
        <w:t xml:space="preserve"> </w:t>
      </w:r>
      <w:r w:rsidR="00B77842" w:rsidRPr="004B6958">
        <w:rPr>
          <w:rFonts w:hint="cs"/>
          <w:rtl/>
        </w:rPr>
        <w:t>יו</w:t>
      </w:r>
      <w:r w:rsidR="00B77842" w:rsidRPr="004B6958">
        <w:rPr>
          <w:rtl/>
        </w:rPr>
        <w:t>"</w:t>
      </w:r>
      <w:r w:rsidR="00B77842" w:rsidRPr="004B6958">
        <w:rPr>
          <w:rFonts w:hint="cs"/>
          <w:rtl/>
        </w:rPr>
        <w:t>ר</w:t>
      </w:r>
      <w:r w:rsidR="00B77842" w:rsidRPr="004B6958">
        <w:rPr>
          <w:rtl/>
        </w:rPr>
        <w:t xml:space="preserve"> </w:t>
      </w:r>
      <w:r w:rsidR="00B77842" w:rsidRPr="004B6958">
        <w:rPr>
          <w:rFonts w:hint="cs"/>
          <w:rtl/>
        </w:rPr>
        <w:t>ועדת</w:t>
      </w:r>
      <w:r w:rsidR="00B77842" w:rsidRPr="004B6958">
        <w:rPr>
          <w:rtl/>
        </w:rPr>
        <w:t xml:space="preserve"> </w:t>
      </w:r>
      <w:r w:rsidR="00B77842" w:rsidRPr="004B6958">
        <w:rPr>
          <w:rFonts w:hint="cs"/>
          <w:rtl/>
        </w:rPr>
        <w:t>האתיקה</w:t>
      </w:r>
      <w:r w:rsidR="00B77842" w:rsidRPr="004B6958">
        <w:rPr>
          <w:rtl/>
        </w:rPr>
        <w:t xml:space="preserve"> </w:t>
      </w:r>
      <w:r w:rsidR="00B77842" w:rsidRPr="004B6958">
        <w:rPr>
          <w:rFonts w:hint="cs"/>
          <w:rtl/>
        </w:rPr>
        <w:t>הארצית</w:t>
      </w:r>
      <w:r w:rsidR="00B77842" w:rsidRPr="004B6958">
        <w:rPr>
          <w:rtl/>
        </w:rPr>
        <w:t xml:space="preserve"> </w:t>
      </w:r>
      <w:r w:rsidR="00B77842" w:rsidRPr="004B6958">
        <w:rPr>
          <w:rFonts w:hint="cs"/>
          <w:rtl/>
        </w:rPr>
        <w:t>בין</w:t>
      </w:r>
      <w:r w:rsidR="00B77842" w:rsidRPr="004B6958">
        <w:rPr>
          <w:rtl/>
        </w:rPr>
        <w:t xml:space="preserve"> </w:t>
      </w:r>
      <w:r w:rsidR="00B77842" w:rsidRPr="004B6958">
        <w:rPr>
          <w:rFonts w:hint="cs"/>
          <w:rtl/>
        </w:rPr>
        <w:t>השנים</w:t>
      </w:r>
      <w:r w:rsidR="00B77842" w:rsidRPr="004B6958">
        <w:rPr>
          <w:rtl/>
        </w:rPr>
        <w:t xml:space="preserve"> 2004-2014</w:t>
      </w:r>
    </w:p>
    <w:p w:rsidR="00252629" w:rsidRPr="00000270" w:rsidRDefault="00252629" w:rsidP="00252629">
      <w:pPr>
        <w:pStyle w:val="a3"/>
        <w:rPr>
          <w:sz w:val="18"/>
          <w:szCs w:val="18"/>
        </w:rPr>
      </w:pPr>
      <w:r>
        <w:rPr>
          <w:rStyle w:val="a5"/>
        </w:rPr>
        <w:footnoteRef/>
      </w:r>
      <w:r>
        <w:rPr>
          <w:rtl/>
        </w:rPr>
        <w:t xml:space="preserve"> </w:t>
      </w:r>
      <w:proofErr w:type="spellStart"/>
      <w:r w:rsidRPr="00000270">
        <w:rPr>
          <w:rFonts w:hint="cs"/>
          <w:sz w:val="18"/>
          <w:szCs w:val="18"/>
          <w:rtl/>
        </w:rPr>
        <w:t>עמל</w:t>
      </w:r>
      <w:r>
        <w:rPr>
          <w:rFonts w:hint="cs"/>
          <w:sz w:val="18"/>
          <w:szCs w:val="18"/>
          <w:rtl/>
        </w:rPr>
        <w:t>"</w:t>
      </w:r>
      <w:r w:rsidRPr="00000270">
        <w:rPr>
          <w:rFonts w:hint="cs"/>
          <w:sz w:val="18"/>
          <w:szCs w:val="18"/>
          <w:rtl/>
        </w:rPr>
        <w:t>ע</w:t>
      </w:r>
      <w:proofErr w:type="spellEnd"/>
      <w:r w:rsidRPr="00000270">
        <w:rPr>
          <w:rFonts w:hint="cs"/>
          <w:sz w:val="18"/>
          <w:szCs w:val="18"/>
          <w:rtl/>
        </w:rPr>
        <w:t xml:space="preserve"> (י-ם) 26780-05-14</w:t>
      </w:r>
      <w:r>
        <w:rPr>
          <w:rFonts w:hint="cs"/>
          <w:sz w:val="18"/>
          <w:szCs w:val="18"/>
          <w:rtl/>
        </w:rPr>
        <w:t xml:space="preserve"> </w:t>
      </w:r>
      <w:r w:rsidR="00137681">
        <w:rPr>
          <w:rFonts w:hint="cs"/>
          <w:sz w:val="18"/>
          <w:szCs w:val="18"/>
          <w:rtl/>
        </w:rPr>
        <w:t xml:space="preserve">עו"ד </w:t>
      </w:r>
      <w:proofErr w:type="spellStart"/>
      <w:r w:rsidRPr="004B6958">
        <w:rPr>
          <w:rFonts w:hint="cs"/>
          <w:b/>
          <w:bCs/>
          <w:sz w:val="18"/>
          <w:szCs w:val="18"/>
          <w:rtl/>
        </w:rPr>
        <w:t>שטרצר</w:t>
      </w:r>
      <w:proofErr w:type="spellEnd"/>
      <w:r w:rsidRPr="004B6958">
        <w:rPr>
          <w:b/>
          <w:bCs/>
          <w:sz w:val="18"/>
          <w:szCs w:val="18"/>
          <w:rtl/>
        </w:rPr>
        <w:t xml:space="preserve"> </w:t>
      </w:r>
      <w:r w:rsidRPr="004B6958">
        <w:rPr>
          <w:rFonts w:hint="cs"/>
          <w:b/>
          <w:bCs/>
          <w:sz w:val="18"/>
          <w:szCs w:val="18"/>
          <w:rtl/>
        </w:rPr>
        <w:t>נ</w:t>
      </w:r>
      <w:r w:rsidRPr="004B6958">
        <w:rPr>
          <w:b/>
          <w:bCs/>
          <w:sz w:val="18"/>
          <w:szCs w:val="18"/>
          <w:rtl/>
        </w:rPr>
        <w:t xml:space="preserve">' </w:t>
      </w:r>
      <w:r w:rsidRPr="004B6958">
        <w:rPr>
          <w:rFonts w:hint="cs"/>
          <w:b/>
          <w:bCs/>
          <w:sz w:val="18"/>
          <w:szCs w:val="18"/>
          <w:rtl/>
        </w:rPr>
        <w:t>ועדת</w:t>
      </w:r>
      <w:r w:rsidRPr="004B6958">
        <w:rPr>
          <w:b/>
          <w:bCs/>
          <w:sz w:val="18"/>
          <w:szCs w:val="18"/>
          <w:rtl/>
        </w:rPr>
        <w:t xml:space="preserve"> </w:t>
      </w:r>
      <w:r w:rsidRPr="004B6958">
        <w:rPr>
          <w:rFonts w:hint="cs"/>
          <w:b/>
          <w:bCs/>
          <w:sz w:val="18"/>
          <w:szCs w:val="18"/>
          <w:rtl/>
        </w:rPr>
        <w:t>האתיקה</w:t>
      </w:r>
      <w:r w:rsidRPr="004B6958">
        <w:rPr>
          <w:b/>
          <w:bCs/>
          <w:sz w:val="18"/>
          <w:szCs w:val="18"/>
          <w:rtl/>
        </w:rPr>
        <w:t xml:space="preserve"> </w:t>
      </w:r>
      <w:r w:rsidRPr="004B6958">
        <w:rPr>
          <w:rFonts w:hint="cs"/>
          <w:b/>
          <w:bCs/>
          <w:sz w:val="18"/>
          <w:szCs w:val="18"/>
          <w:rtl/>
        </w:rPr>
        <w:t>במחוז</w:t>
      </w:r>
      <w:r w:rsidRPr="004B6958">
        <w:rPr>
          <w:b/>
          <w:bCs/>
          <w:sz w:val="18"/>
          <w:szCs w:val="18"/>
          <w:rtl/>
        </w:rPr>
        <w:t xml:space="preserve"> </w:t>
      </w:r>
      <w:r w:rsidRPr="004B6958">
        <w:rPr>
          <w:rFonts w:hint="cs"/>
          <w:b/>
          <w:bCs/>
          <w:sz w:val="18"/>
          <w:szCs w:val="18"/>
          <w:rtl/>
        </w:rPr>
        <w:t>תל</w:t>
      </w:r>
      <w:r w:rsidRPr="004B6958">
        <w:rPr>
          <w:b/>
          <w:bCs/>
          <w:sz w:val="18"/>
          <w:szCs w:val="18"/>
          <w:rtl/>
        </w:rPr>
        <w:t>-</w:t>
      </w:r>
      <w:r w:rsidRPr="004B6958">
        <w:rPr>
          <w:rFonts w:hint="cs"/>
          <w:b/>
          <w:bCs/>
          <w:sz w:val="18"/>
          <w:szCs w:val="18"/>
          <w:rtl/>
        </w:rPr>
        <w:t>אביב</w:t>
      </w:r>
      <w:r w:rsidRPr="004B6958">
        <w:rPr>
          <w:b/>
          <w:bCs/>
          <w:sz w:val="18"/>
          <w:szCs w:val="18"/>
          <w:rtl/>
        </w:rPr>
        <w:t>-</w:t>
      </w:r>
      <w:r w:rsidRPr="004B6958">
        <w:rPr>
          <w:rFonts w:hint="cs"/>
          <w:b/>
          <w:bCs/>
          <w:sz w:val="18"/>
          <w:szCs w:val="18"/>
          <w:rtl/>
        </w:rPr>
        <w:t>יפו</w:t>
      </w:r>
      <w:r>
        <w:rPr>
          <w:rFonts w:hint="cs"/>
          <w:sz w:val="18"/>
          <w:szCs w:val="18"/>
          <w:rtl/>
        </w:rPr>
        <w:t>, (מאגר נבו, 12.4.14).</w:t>
      </w:r>
    </w:p>
  </w:footnote>
  <w:footnote w:id="2">
    <w:p w:rsidR="00000270" w:rsidRPr="00000270" w:rsidRDefault="00000270">
      <w:pPr>
        <w:pStyle w:val="a3"/>
        <w:rPr>
          <w:sz w:val="18"/>
          <w:szCs w:val="18"/>
        </w:rPr>
      </w:pPr>
      <w:r>
        <w:rPr>
          <w:rStyle w:val="a5"/>
        </w:rPr>
        <w:footnoteRef/>
      </w:r>
      <w:r>
        <w:rPr>
          <w:rtl/>
        </w:rPr>
        <w:t xml:space="preserve"> </w:t>
      </w:r>
      <w:proofErr w:type="spellStart"/>
      <w:r w:rsidRPr="00000270">
        <w:rPr>
          <w:rFonts w:hint="cs"/>
          <w:sz w:val="18"/>
          <w:szCs w:val="18"/>
          <w:rtl/>
        </w:rPr>
        <w:t>בד"מ</w:t>
      </w:r>
      <w:proofErr w:type="spellEnd"/>
      <w:r w:rsidRPr="00000270">
        <w:rPr>
          <w:rFonts w:hint="cs"/>
          <w:sz w:val="18"/>
          <w:szCs w:val="18"/>
          <w:rtl/>
        </w:rPr>
        <w:t xml:space="preserve"> (תל-אביב) 1/12 </w:t>
      </w:r>
      <w:r w:rsidRPr="004B6958">
        <w:rPr>
          <w:rFonts w:hint="cs"/>
          <w:b/>
          <w:bCs/>
          <w:sz w:val="18"/>
          <w:szCs w:val="18"/>
          <w:rtl/>
        </w:rPr>
        <w:t>ועדת</w:t>
      </w:r>
      <w:r w:rsidRPr="004B6958">
        <w:rPr>
          <w:b/>
          <w:bCs/>
          <w:sz w:val="18"/>
          <w:szCs w:val="18"/>
          <w:rtl/>
        </w:rPr>
        <w:t xml:space="preserve"> </w:t>
      </w:r>
      <w:r w:rsidRPr="004B6958">
        <w:rPr>
          <w:rFonts w:hint="cs"/>
          <w:b/>
          <w:bCs/>
          <w:sz w:val="18"/>
          <w:szCs w:val="18"/>
          <w:rtl/>
        </w:rPr>
        <w:t>האתיקה</w:t>
      </w:r>
      <w:r w:rsidRPr="004B6958">
        <w:rPr>
          <w:b/>
          <w:bCs/>
          <w:sz w:val="18"/>
          <w:szCs w:val="18"/>
          <w:rtl/>
        </w:rPr>
        <w:t xml:space="preserve"> </w:t>
      </w:r>
      <w:r w:rsidRPr="004B6958">
        <w:rPr>
          <w:rFonts w:hint="cs"/>
          <w:b/>
          <w:bCs/>
          <w:sz w:val="18"/>
          <w:szCs w:val="18"/>
          <w:rtl/>
        </w:rPr>
        <w:t>במחוז</w:t>
      </w:r>
      <w:r w:rsidRPr="004B6958">
        <w:rPr>
          <w:b/>
          <w:bCs/>
          <w:sz w:val="18"/>
          <w:szCs w:val="18"/>
          <w:rtl/>
        </w:rPr>
        <w:t xml:space="preserve"> </w:t>
      </w:r>
      <w:r w:rsidRPr="004B6958">
        <w:rPr>
          <w:rFonts w:hint="cs"/>
          <w:b/>
          <w:bCs/>
          <w:sz w:val="18"/>
          <w:szCs w:val="18"/>
          <w:rtl/>
        </w:rPr>
        <w:t>תל</w:t>
      </w:r>
      <w:r w:rsidRPr="004B6958">
        <w:rPr>
          <w:b/>
          <w:bCs/>
          <w:sz w:val="18"/>
          <w:szCs w:val="18"/>
          <w:rtl/>
        </w:rPr>
        <w:t>-</w:t>
      </w:r>
      <w:r w:rsidRPr="004B6958">
        <w:rPr>
          <w:rFonts w:hint="cs"/>
          <w:b/>
          <w:bCs/>
          <w:sz w:val="18"/>
          <w:szCs w:val="18"/>
          <w:rtl/>
        </w:rPr>
        <w:t>אביב</w:t>
      </w:r>
      <w:r w:rsidRPr="004B6958">
        <w:rPr>
          <w:b/>
          <w:bCs/>
          <w:sz w:val="18"/>
          <w:szCs w:val="18"/>
          <w:rtl/>
        </w:rPr>
        <w:t>-</w:t>
      </w:r>
      <w:r w:rsidRPr="004B6958">
        <w:rPr>
          <w:rFonts w:hint="cs"/>
          <w:b/>
          <w:bCs/>
          <w:sz w:val="18"/>
          <w:szCs w:val="18"/>
          <w:rtl/>
        </w:rPr>
        <w:t>יפו</w:t>
      </w:r>
      <w:r w:rsidRPr="004B6958">
        <w:rPr>
          <w:b/>
          <w:bCs/>
          <w:sz w:val="18"/>
          <w:szCs w:val="18"/>
          <w:rtl/>
        </w:rPr>
        <w:t xml:space="preserve"> </w:t>
      </w:r>
      <w:r w:rsidRPr="004B6958">
        <w:rPr>
          <w:rFonts w:hint="cs"/>
          <w:b/>
          <w:bCs/>
          <w:sz w:val="18"/>
          <w:szCs w:val="18"/>
          <w:rtl/>
        </w:rPr>
        <w:t>נגד</w:t>
      </w:r>
      <w:r w:rsidRPr="004B6958">
        <w:rPr>
          <w:b/>
          <w:bCs/>
          <w:sz w:val="18"/>
          <w:szCs w:val="18"/>
          <w:rtl/>
        </w:rPr>
        <w:t xml:space="preserve"> </w:t>
      </w:r>
      <w:r w:rsidR="00137681">
        <w:rPr>
          <w:rFonts w:hint="cs"/>
          <w:b/>
          <w:bCs/>
          <w:sz w:val="18"/>
          <w:szCs w:val="18"/>
          <w:rtl/>
        </w:rPr>
        <w:t xml:space="preserve">עו"ד </w:t>
      </w:r>
      <w:proofErr w:type="spellStart"/>
      <w:r w:rsidRPr="004B6958">
        <w:rPr>
          <w:rFonts w:hint="cs"/>
          <w:b/>
          <w:bCs/>
          <w:sz w:val="18"/>
          <w:szCs w:val="18"/>
          <w:rtl/>
        </w:rPr>
        <w:t>שטרצר</w:t>
      </w:r>
      <w:proofErr w:type="spellEnd"/>
      <w:r w:rsidRPr="00000270">
        <w:rPr>
          <w:rFonts w:hint="cs"/>
          <w:sz w:val="18"/>
          <w:szCs w:val="18"/>
          <w:rtl/>
        </w:rPr>
        <w:t xml:space="preserve"> (</w:t>
      </w:r>
      <w:proofErr w:type="spellStart"/>
      <w:r w:rsidRPr="00000270">
        <w:rPr>
          <w:rFonts w:hint="cs"/>
          <w:sz w:val="18"/>
          <w:szCs w:val="18"/>
          <w:rtl/>
        </w:rPr>
        <w:t>פדאור</w:t>
      </w:r>
      <w:proofErr w:type="spellEnd"/>
      <w:r w:rsidRPr="00000270">
        <w:rPr>
          <w:rFonts w:hint="cs"/>
          <w:sz w:val="18"/>
          <w:szCs w:val="18"/>
          <w:rtl/>
        </w:rPr>
        <w:t xml:space="preserve"> אתיקה, 23.3.14).</w:t>
      </w:r>
    </w:p>
  </w:footnote>
  <w:footnote w:id="3">
    <w:p w:rsidR="00F21F0F" w:rsidRPr="00F21F0F" w:rsidRDefault="00F21F0F" w:rsidP="00313314">
      <w:pPr>
        <w:pStyle w:val="a3"/>
        <w:rPr>
          <w:sz w:val="18"/>
          <w:szCs w:val="18"/>
        </w:rPr>
      </w:pPr>
      <w:r>
        <w:rPr>
          <w:rStyle w:val="a5"/>
        </w:rPr>
        <w:footnoteRef/>
      </w:r>
      <w:r>
        <w:rPr>
          <w:rtl/>
        </w:rPr>
        <w:t xml:space="preserve"> </w:t>
      </w:r>
      <w:r w:rsidRPr="00F21F0F">
        <w:rPr>
          <w:rFonts w:hint="cs"/>
          <w:sz w:val="18"/>
          <w:szCs w:val="18"/>
          <w:rtl/>
        </w:rPr>
        <w:t xml:space="preserve">ב"ש 9366/09, </w:t>
      </w:r>
      <w:proofErr w:type="spellStart"/>
      <w:r w:rsidRPr="00F21F0F">
        <w:rPr>
          <w:rFonts w:hint="cs"/>
          <w:sz w:val="18"/>
          <w:szCs w:val="18"/>
          <w:rtl/>
        </w:rPr>
        <w:t>על"ע</w:t>
      </w:r>
      <w:proofErr w:type="spellEnd"/>
      <w:r w:rsidRPr="00F21F0F">
        <w:rPr>
          <w:rFonts w:hint="cs"/>
          <w:sz w:val="18"/>
          <w:szCs w:val="18"/>
          <w:rtl/>
        </w:rPr>
        <w:t xml:space="preserve"> 7032/09 </w:t>
      </w:r>
      <w:r w:rsidRPr="004B6958">
        <w:rPr>
          <w:rFonts w:hint="cs"/>
          <w:b/>
          <w:bCs/>
          <w:sz w:val="18"/>
          <w:szCs w:val="18"/>
          <w:rtl/>
        </w:rPr>
        <w:t>עו</w:t>
      </w:r>
      <w:r w:rsidRPr="004B6958">
        <w:rPr>
          <w:b/>
          <w:bCs/>
          <w:sz w:val="18"/>
          <w:szCs w:val="18"/>
          <w:rtl/>
        </w:rPr>
        <w:t>"</w:t>
      </w:r>
      <w:r w:rsidRPr="004B6958">
        <w:rPr>
          <w:rFonts w:hint="cs"/>
          <w:b/>
          <w:bCs/>
          <w:sz w:val="18"/>
          <w:szCs w:val="18"/>
          <w:rtl/>
        </w:rPr>
        <w:t>ד</w:t>
      </w:r>
      <w:r w:rsidRPr="004B6958">
        <w:rPr>
          <w:b/>
          <w:bCs/>
          <w:sz w:val="18"/>
          <w:szCs w:val="18"/>
          <w:rtl/>
        </w:rPr>
        <w:t xml:space="preserve"> </w:t>
      </w:r>
      <w:r w:rsidRPr="004B6958">
        <w:rPr>
          <w:rFonts w:hint="cs"/>
          <w:b/>
          <w:bCs/>
          <w:sz w:val="18"/>
          <w:szCs w:val="18"/>
          <w:rtl/>
        </w:rPr>
        <w:t>יחיא</w:t>
      </w:r>
      <w:r w:rsidRPr="004B6958">
        <w:rPr>
          <w:b/>
          <w:bCs/>
          <w:sz w:val="18"/>
          <w:szCs w:val="18"/>
          <w:rtl/>
        </w:rPr>
        <w:t xml:space="preserve"> </w:t>
      </w:r>
      <w:r w:rsidRPr="004B6958">
        <w:rPr>
          <w:rFonts w:hint="cs"/>
          <w:b/>
          <w:bCs/>
          <w:sz w:val="18"/>
          <w:szCs w:val="18"/>
          <w:rtl/>
        </w:rPr>
        <w:t>עבדאללה</w:t>
      </w:r>
      <w:r w:rsidRPr="004B6958">
        <w:rPr>
          <w:b/>
          <w:bCs/>
          <w:sz w:val="18"/>
          <w:szCs w:val="18"/>
          <w:rtl/>
        </w:rPr>
        <w:t xml:space="preserve"> </w:t>
      </w:r>
      <w:r w:rsidRPr="004B6958">
        <w:rPr>
          <w:rFonts w:hint="cs"/>
          <w:b/>
          <w:bCs/>
          <w:sz w:val="18"/>
          <w:szCs w:val="18"/>
          <w:rtl/>
        </w:rPr>
        <w:t>נ</w:t>
      </w:r>
      <w:r w:rsidRPr="004B6958">
        <w:rPr>
          <w:b/>
          <w:bCs/>
          <w:sz w:val="18"/>
          <w:szCs w:val="18"/>
          <w:rtl/>
        </w:rPr>
        <w:t xml:space="preserve">' </w:t>
      </w:r>
      <w:r w:rsidRPr="004B6958">
        <w:rPr>
          <w:rFonts w:hint="cs"/>
          <w:b/>
          <w:bCs/>
          <w:sz w:val="18"/>
          <w:szCs w:val="18"/>
          <w:rtl/>
        </w:rPr>
        <w:t>בית</w:t>
      </w:r>
      <w:r w:rsidRPr="004B6958">
        <w:rPr>
          <w:b/>
          <w:bCs/>
          <w:sz w:val="18"/>
          <w:szCs w:val="18"/>
          <w:rtl/>
        </w:rPr>
        <w:t xml:space="preserve"> </w:t>
      </w:r>
      <w:r w:rsidRPr="004B6958">
        <w:rPr>
          <w:rFonts w:hint="cs"/>
          <w:b/>
          <w:bCs/>
          <w:sz w:val="18"/>
          <w:szCs w:val="18"/>
          <w:rtl/>
        </w:rPr>
        <w:t>הדין</w:t>
      </w:r>
      <w:r w:rsidRPr="004B6958">
        <w:rPr>
          <w:b/>
          <w:bCs/>
          <w:sz w:val="18"/>
          <w:szCs w:val="18"/>
          <w:rtl/>
        </w:rPr>
        <w:t xml:space="preserve"> </w:t>
      </w:r>
      <w:r w:rsidRPr="004B6958">
        <w:rPr>
          <w:rFonts w:hint="cs"/>
          <w:b/>
          <w:bCs/>
          <w:sz w:val="18"/>
          <w:szCs w:val="18"/>
          <w:rtl/>
        </w:rPr>
        <w:t>המשמעתי</w:t>
      </w:r>
      <w:r w:rsidRPr="004B6958">
        <w:rPr>
          <w:b/>
          <w:bCs/>
          <w:sz w:val="18"/>
          <w:szCs w:val="18"/>
          <w:rtl/>
        </w:rPr>
        <w:t xml:space="preserve"> </w:t>
      </w:r>
      <w:r w:rsidRPr="004B6958">
        <w:rPr>
          <w:rFonts w:hint="cs"/>
          <w:b/>
          <w:bCs/>
          <w:sz w:val="18"/>
          <w:szCs w:val="18"/>
          <w:rtl/>
        </w:rPr>
        <w:t>הארצי</w:t>
      </w:r>
      <w:r w:rsidRPr="004B6958">
        <w:rPr>
          <w:b/>
          <w:bCs/>
          <w:sz w:val="18"/>
          <w:szCs w:val="18"/>
          <w:rtl/>
        </w:rPr>
        <w:t xml:space="preserve"> </w:t>
      </w:r>
      <w:r w:rsidRPr="004B6958">
        <w:rPr>
          <w:rFonts w:hint="cs"/>
          <w:b/>
          <w:bCs/>
          <w:sz w:val="18"/>
          <w:szCs w:val="18"/>
          <w:rtl/>
        </w:rPr>
        <w:t>ואח</w:t>
      </w:r>
      <w:r w:rsidRPr="004B6958">
        <w:rPr>
          <w:b/>
          <w:bCs/>
          <w:sz w:val="18"/>
          <w:szCs w:val="18"/>
          <w:rtl/>
        </w:rPr>
        <w:t>'</w:t>
      </w:r>
      <w:r w:rsidRPr="00F21F0F">
        <w:rPr>
          <w:rFonts w:hint="cs"/>
          <w:sz w:val="18"/>
          <w:szCs w:val="18"/>
          <w:rtl/>
        </w:rPr>
        <w:t xml:space="preserve"> (מאגר נבו, </w:t>
      </w:r>
      <w:r w:rsidR="00313314">
        <w:rPr>
          <w:rFonts w:hint="cs"/>
          <w:sz w:val="18"/>
          <w:szCs w:val="18"/>
          <w:rtl/>
        </w:rPr>
        <w:t>20</w:t>
      </w:r>
      <w:r w:rsidRPr="00F21F0F">
        <w:rPr>
          <w:rFonts w:hint="cs"/>
          <w:sz w:val="18"/>
          <w:szCs w:val="18"/>
          <w:rtl/>
        </w:rPr>
        <w:t>09).</w:t>
      </w:r>
    </w:p>
  </w:footnote>
  <w:footnote w:id="4">
    <w:p w:rsidR="00E42C64" w:rsidRDefault="00E42C64" w:rsidP="004B6958">
      <w:pPr>
        <w:spacing w:after="0" w:line="240" w:lineRule="auto"/>
        <w:jc w:val="both"/>
      </w:pPr>
      <w:r>
        <w:rPr>
          <w:rStyle w:val="a5"/>
        </w:rPr>
        <w:footnoteRef/>
      </w:r>
      <w:r>
        <w:rPr>
          <w:rtl/>
        </w:rPr>
        <w:t xml:space="preserve"> </w:t>
      </w:r>
      <w:r w:rsidRPr="00E42C64">
        <w:rPr>
          <w:rFonts w:ascii="Arial" w:eastAsia="Times New Roman" w:hAnsi="Arial" w:cs="Arial" w:hint="cs"/>
          <w:color w:val="000000"/>
          <w:sz w:val="20"/>
          <w:szCs w:val="20"/>
          <w:rtl/>
        </w:rPr>
        <w:t>חוק</w:t>
      </w:r>
      <w:r w:rsidRPr="00E42C64">
        <w:rPr>
          <w:rFonts w:ascii="Arial" w:eastAsia="Times New Roman" w:hAnsi="Arial" w:cs="Arial"/>
          <w:color w:val="000000"/>
          <w:sz w:val="20"/>
          <w:szCs w:val="20"/>
          <w:rtl/>
        </w:rPr>
        <w:t xml:space="preserve"> </w:t>
      </w:r>
      <w:r w:rsidRPr="00E42C64">
        <w:rPr>
          <w:rFonts w:ascii="Arial" w:eastAsia="Times New Roman" w:hAnsi="Arial" w:cs="Arial" w:hint="cs"/>
          <w:color w:val="000000"/>
          <w:sz w:val="20"/>
          <w:szCs w:val="20"/>
          <w:rtl/>
        </w:rPr>
        <w:t>לשכת</w:t>
      </w:r>
      <w:r w:rsidRPr="00E42C64">
        <w:rPr>
          <w:rFonts w:ascii="Arial" w:eastAsia="Times New Roman" w:hAnsi="Arial" w:cs="Arial"/>
          <w:color w:val="000000"/>
          <w:sz w:val="20"/>
          <w:szCs w:val="20"/>
          <w:rtl/>
        </w:rPr>
        <w:t xml:space="preserve"> </w:t>
      </w:r>
      <w:r w:rsidRPr="00E42C64">
        <w:rPr>
          <w:rFonts w:ascii="Arial" w:eastAsia="Times New Roman" w:hAnsi="Arial" w:cs="Arial" w:hint="cs"/>
          <w:color w:val="000000"/>
          <w:sz w:val="20"/>
          <w:szCs w:val="20"/>
          <w:rtl/>
        </w:rPr>
        <w:t>עורכי</w:t>
      </w:r>
      <w:r w:rsidRPr="00E42C64">
        <w:rPr>
          <w:rFonts w:ascii="Arial" w:eastAsia="Times New Roman" w:hAnsi="Arial" w:cs="Arial"/>
          <w:color w:val="000000"/>
          <w:sz w:val="20"/>
          <w:szCs w:val="20"/>
          <w:rtl/>
        </w:rPr>
        <w:t xml:space="preserve"> </w:t>
      </w:r>
      <w:r w:rsidRPr="00E42C64">
        <w:rPr>
          <w:rFonts w:ascii="Arial" w:eastAsia="Times New Roman" w:hAnsi="Arial" w:cs="Arial" w:hint="cs"/>
          <w:color w:val="000000"/>
          <w:sz w:val="20"/>
          <w:szCs w:val="20"/>
          <w:rtl/>
        </w:rPr>
        <w:t>הדין</w:t>
      </w:r>
      <w:r w:rsidRPr="00E42C64">
        <w:rPr>
          <w:rFonts w:ascii="Arial" w:eastAsia="Times New Roman" w:hAnsi="Arial" w:cs="Arial"/>
          <w:color w:val="000000"/>
          <w:sz w:val="20"/>
          <w:szCs w:val="20"/>
          <w:rtl/>
        </w:rPr>
        <w:t xml:space="preserve"> (</w:t>
      </w:r>
      <w:r w:rsidRPr="00E42C64">
        <w:rPr>
          <w:rFonts w:ascii="Arial" w:eastAsia="Times New Roman" w:hAnsi="Arial" w:cs="Arial" w:hint="cs"/>
          <w:color w:val="000000"/>
          <w:sz w:val="20"/>
          <w:szCs w:val="20"/>
          <w:rtl/>
        </w:rPr>
        <w:t>תיקון</w:t>
      </w:r>
      <w:r w:rsidRPr="00E42C64">
        <w:rPr>
          <w:rFonts w:ascii="Arial" w:eastAsia="Times New Roman" w:hAnsi="Arial" w:cs="Arial"/>
          <w:color w:val="000000"/>
          <w:sz w:val="20"/>
          <w:szCs w:val="20"/>
          <w:rtl/>
        </w:rPr>
        <w:t xml:space="preserve"> </w:t>
      </w:r>
      <w:r w:rsidRPr="00E42C64">
        <w:rPr>
          <w:rFonts w:ascii="Arial" w:eastAsia="Times New Roman" w:hAnsi="Arial" w:cs="Arial" w:hint="cs"/>
          <w:color w:val="000000"/>
          <w:sz w:val="20"/>
          <w:szCs w:val="20"/>
          <w:rtl/>
        </w:rPr>
        <w:t>מסי</w:t>
      </w:r>
      <w:r w:rsidRPr="00E42C64">
        <w:rPr>
          <w:rFonts w:ascii="Arial" w:eastAsia="Times New Roman" w:hAnsi="Arial" w:cs="Arial"/>
          <w:color w:val="000000"/>
          <w:sz w:val="20"/>
          <w:szCs w:val="20"/>
          <w:rtl/>
        </w:rPr>
        <w:t xml:space="preserve"> 32), </w:t>
      </w:r>
      <w:r w:rsidRPr="00E42C64">
        <w:rPr>
          <w:rFonts w:ascii="Arial" w:eastAsia="Times New Roman" w:hAnsi="Arial" w:cs="Arial" w:hint="cs"/>
          <w:color w:val="000000"/>
          <w:sz w:val="20"/>
          <w:szCs w:val="20"/>
          <w:rtl/>
        </w:rPr>
        <w:t>התשס״ח</w:t>
      </w:r>
      <w:r w:rsidRPr="00E42C64">
        <w:rPr>
          <w:rFonts w:ascii="Arial" w:eastAsia="Times New Roman" w:hAnsi="Arial" w:cs="Arial"/>
          <w:color w:val="000000"/>
          <w:sz w:val="20"/>
          <w:szCs w:val="20"/>
          <w:rtl/>
        </w:rPr>
        <w:t>-200</w:t>
      </w:r>
      <w:r w:rsidRPr="00E42C64">
        <w:rPr>
          <w:rFonts w:ascii="Arial" w:eastAsia="Times New Roman" w:hAnsi="Arial" w:cs="Arial" w:hint="cs"/>
          <w:color w:val="000000"/>
          <w:sz w:val="20"/>
          <w:szCs w:val="20"/>
          <w:rtl/>
        </w:rPr>
        <w:t>8 (ספר החוקים 2160).</w:t>
      </w:r>
    </w:p>
  </w:footnote>
  <w:footnote w:id="5">
    <w:p w:rsidR="00983DCE" w:rsidRDefault="00983DCE" w:rsidP="004B6958">
      <w:pPr>
        <w:pStyle w:val="a3"/>
        <w:rPr>
          <w:rtl/>
        </w:rPr>
      </w:pPr>
      <w:r>
        <w:rPr>
          <w:rStyle w:val="a5"/>
        </w:rPr>
        <w:footnoteRef/>
      </w:r>
      <w:r>
        <w:rPr>
          <w:rtl/>
        </w:rPr>
        <w:t xml:space="preserve"> </w:t>
      </w:r>
      <w:r w:rsidR="001D0AEE">
        <w:rPr>
          <w:rFonts w:hint="cs"/>
          <w:sz w:val="18"/>
          <w:szCs w:val="18"/>
          <w:rtl/>
        </w:rPr>
        <w:t>ס</w:t>
      </w:r>
      <w:r w:rsidRPr="00983DCE">
        <w:rPr>
          <w:rFonts w:hint="cs"/>
          <w:sz w:val="18"/>
          <w:szCs w:val="18"/>
          <w:rtl/>
        </w:rPr>
        <w:t xml:space="preserve">עיף </w:t>
      </w:r>
      <w:r w:rsidR="00CB2944">
        <w:rPr>
          <w:rFonts w:hint="cs"/>
          <w:sz w:val="18"/>
          <w:szCs w:val="18"/>
          <w:rtl/>
        </w:rPr>
        <w:t xml:space="preserve">72(א) </w:t>
      </w:r>
      <w:r w:rsidRPr="00983DCE">
        <w:rPr>
          <w:rFonts w:hint="cs"/>
          <w:sz w:val="18"/>
          <w:szCs w:val="18"/>
          <w:rtl/>
        </w:rPr>
        <w:t xml:space="preserve">בנוסח שעמד בתוקפו עד </w:t>
      </w:r>
      <w:r w:rsidR="00CB2944">
        <w:rPr>
          <w:rFonts w:hint="cs"/>
          <w:sz w:val="18"/>
          <w:szCs w:val="18"/>
          <w:rtl/>
        </w:rPr>
        <w:t>לתיקון 32, שכותרתו אז "דחית ביצוע". בסעיף זה נקבע שגם פרסום העונש ידחה עד לסיום הליכי הערעור.</w:t>
      </w:r>
    </w:p>
  </w:footnote>
  <w:footnote w:id="6">
    <w:p w:rsidR="00313314" w:rsidRPr="00313314" w:rsidRDefault="00313314">
      <w:pPr>
        <w:pStyle w:val="a3"/>
        <w:rPr>
          <w:sz w:val="18"/>
          <w:szCs w:val="18"/>
        </w:rPr>
      </w:pPr>
      <w:r>
        <w:rPr>
          <w:rStyle w:val="a5"/>
        </w:rPr>
        <w:footnoteRef/>
      </w:r>
      <w:r>
        <w:rPr>
          <w:rtl/>
        </w:rPr>
        <w:t xml:space="preserve"> </w:t>
      </w:r>
      <w:hyperlink r:id="rId1" w:history="1">
        <w:proofErr w:type="spellStart"/>
        <w:r w:rsidRPr="00313314">
          <w:rPr>
            <w:rFonts w:hint="cs"/>
            <w:sz w:val="18"/>
            <w:szCs w:val="18"/>
            <w:rtl/>
          </w:rPr>
          <w:t>על"ע</w:t>
        </w:r>
        <w:proofErr w:type="spellEnd"/>
        <w:r w:rsidRPr="00313314">
          <w:rPr>
            <w:rFonts w:hint="cs"/>
            <w:sz w:val="18"/>
            <w:szCs w:val="18"/>
            <w:rtl/>
          </w:rPr>
          <w:t xml:space="preserve"> 3224/02 הוועד המחוזי של לשכת עורכי הדין בתל אביב נ' עו"ד דניאל </w:t>
        </w:r>
        <w:proofErr w:type="spellStart"/>
        <w:r w:rsidRPr="00313314">
          <w:rPr>
            <w:rFonts w:hint="cs"/>
            <w:sz w:val="18"/>
            <w:szCs w:val="18"/>
            <w:rtl/>
          </w:rPr>
          <w:t>אזוגי</w:t>
        </w:r>
        <w:proofErr w:type="spellEnd"/>
        <w:r w:rsidRPr="00313314">
          <w:rPr>
            <w:rFonts w:hint="cs"/>
            <w:sz w:val="18"/>
            <w:szCs w:val="18"/>
            <w:rtl/>
          </w:rPr>
          <w:t xml:space="preserve"> פ"ד נו</w:t>
        </w:r>
      </w:hyperlink>
      <w:r w:rsidRPr="00313314">
        <w:rPr>
          <w:rFonts w:hint="cs"/>
          <w:sz w:val="18"/>
          <w:szCs w:val="18"/>
          <w:rtl/>
        </w:rPr>
        <w:t xml:space="preserve"> (6) 241 (2002)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1315E"/>
    <w:multiLevelType w:val="hybridMultilevel"/>
    <w:tmpl w:val="93465190"/>
    <w:lvl w:ilvl="0" w:tplc="80FA67D4">
      <w:start w:val="1"/>
      <w:numFmt w:val="hebrew1"/>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CA7"/>
    <w:rsid w:val="00000270"/>
    <w:rsid w:val="000048E0"/>
    <w:rsid w:val="00006B34"/>
    <w:rsid w:val="00016DA4"/>
    <w:rsid w:val="00027B99"/>
    <w:rsid w:val="00065916"/>
    <w:rsid w:val="000B1A71"/>
    <w:rsid w:val="000E0926"/>
    <w:rsid w:val="00121F93"/>
    <w:rsid w:val="00137681"/>
    <w:rsid w:val="00147C59"/>
    <w:rsid w:val="00171DB4"/>
    <w:rsid w:val="00181CA9"/>
    <w:rsid w:val="001D0AEE"/>
    <w:rsid w:val="001E2573"/>
    <w:rsid w:val="00233291"/>
    <w:rsid w:val="00250102"/>
    <w:rsid w:val="00252629"/>
    <w:rsid w:val="00313314"/>
    <w:rsid w:val="003177AA"/>
    <w:rsid w:val="003425D4"/>
    <w:rsid w:val="00397EC6"/>
    <w:rsid w:val="0048142E"/>
    <w:rsid w:val="004B6958"/>
    <w:rsid w:val="00513447"/>
    <w:rsid w:val="005B5CA7"/>
    <w:rsid w:val="005D1BF9"/>
    <w:rsid w:val="006126F4"/>
    <w:rsid w:val="00651ED1"/>
    <w:rsid w:val="00734C46"/>
    <w:rsid w:val="00783E0E"/>
    <w:rsid w:val="00804FC8"/>
    <w:rsid w:val="00873E67"/>
    <w:rsid w:val="00946B1A"/>
    <w:rsid w:val="00983DCE"/>
    <w:rsid w:val="00A06DED"/>
    <w:rsid w:val="00A103A4"/>
    <w:rsid w:val="00A449FC"/>
    <w:rsid w:val="00AA3CA3"/>
    <w:rsid w:val="00B30C5C"/>
    <w:rsid w:val="00B77842"/>
    <w:rsid w:val="00BD139B"/>
    <w:rsid w:val="00C22078"/>
    <w:rsid w:val="00C72971"/>
    <w:rsid w:val="00CA7C29"/>
    <w:rsid w:val="00CB2944"/>
    <w:rsid w:val="00CE027E"/>
    <w:rsid w:val="00D13D20"/>
    <w:rsid w:val="00DD520A"/>
    <w:rsid w:val="00E25CD4"/>
    <w:rsid w:val="00E42C64"/>
    <w:rsid w:val="00F156B0"/>
    <w:rsid w:val="00F21F0F"/>
    <w:rsid w:val="00F67F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0">
    <w:name w:val="p00"/>
    <w:basedOn w:val="a"/>
    <w:rsid w:val="000E092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
    <w:name w:val="default"/>
    <w:basedOn w:val="a0"/>
    <w:rsid w:val="000E0926"/>
  </w:style>
  <w:style w:type="character" w:customStyle="1" w:styleId="apple-converted-space">
    <w:name w:val="apple-converted-space"/>
    <w:basedOn w:val="a0"/>
    <w:rsid w:val="000E0926"/>
  </w:style>
  <w:style w:type="paragraph" w:styleId="a3">
    <w:name w:val="footnote text"/>
    <w:basedOn w:val="a"/>
    <w:link w:val="a4"/>
    <w:uiPriority w:val="99"/>
    <w:semiHidden/>
    <w:unhideWhenUsed/>
    <w:rsid w:val="00233291"/>
    <w:pPr>
      <w:spacing w:after="0" w:line="240" w:lineRule="auto"/>
    </w:pPr>
    <w:rPr>
      <w:sz w:val="20"/>
      <w:szCs w:val="20"/>
    </w:rPr>
  </w:style>
  <w:style w:type="character" w:customStyle="1" w:styleId="a4">
    <w:name w:val="טקסט הערת שוליים תו"/>
    <w:basedOn w:val="a0"/>
    <w:link w:val="a3"/>
    <w:uiPriority w:val="99"/>
    <w:semiHidden/>
    <w:rsid w:val="00233291"/>
    <w:rPr>
      <w:sz w:val="20"/>
      <w:szCs w:val="20"/>
    </w:rPr>
  </w:style>
  <w:style w:type="character" w:styleId="a5">
    <w:name w:val="footnote reference"/>
    <w:basedOn w:val="a0"/>
    <w:uiPriority w:val="99"/>
    <w:semiHidden/>
    <w:unhideWhenUsed/>
    <w:rsid w:val="00233291"/>
    <w:rPr>
      <w:vertAlign w:val="superscript"/>
    </w:rPr>
  </w:style>
  <w:style w:type="character" w:styleId="Hyperlink">
    <w:name w:val="Hyperlink"/>
    <w:basedOn w:val="a0"/>
    <w:uiPriority w:val="99"/>
    <w:semiHidden/>
    <w:unhideWhenUsed/>
    <w:rsid w:val="00313314"/>
    <w:rPr>
      <w:color w:val="0000FF" w:themeColor="hyperlink"/>
      <w:u w:val="single"/>
    </w:rPr>
  </w:style>
  <w:style w:type="paragraph" w:styleId="a6">
    <w:name w:val="List Paragraph"/>
    <w:basedOn w:val="a"/>
    <w:uiPriority w:val="34"/>
    <w:qFormat/>
    <w:rsid w:val="00CB2944"/>
    <w:pPr>
      <w:spacing w:after="0" w:line="240" w:lineRule="auto"/>
      <w:ind w:left="720"/>
    </w:pPr>
    <w:rPr>
      <w:rFonts w:ascii="Calibri" w:hAnsi="Calibri" w:cs="Times New Roman"/>
    </w:rPr>
  </w:style>
  <w:style w:type="paragraph" w:styleId="a7">
    <w:name w:val="Balloon Text"/>
    <w:basedOn w:val="a"/>
    <w:link w:val="a8"/>
    <w:uiPriority w:val="99"/>
    <w:semiHidden/>
    <w:unhideWhenUsed/>
    <w:rsid w:val="004B6958"/>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4B69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0">
    <w:name w:val="p00"/>
    <w:basedOn w:val="a"/>
    <w:rsid w:val="000E092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
    <w:name w:val="default"/>
    <w:basedOn w:val="a0"/>
    <w:rsid w:val="000E0926"/>
  </w:style>
  <w:style w:type="character" w:customStyle="1" w:styleId="apple-converted-space">
    <w:name w:val="apple-converted-space"/>
    <w:basedOn w:val="a0"/>
    <w:rsid w:val="000E0926"/>
  </w:style>
  <w:style w:type="paragraph" w:styleId="a3">
    <w:name w:val="footnote text"/>
    <w:basedOn w:val="a"/>
    <w:link w:val="a4"/>
    <w:uiPriority w:val="99"/>
    <w:semiHidden/>
    <w:unhideWhenUsed/>
    <w:rsid w:val="00233291"/>
    <w:pPr>
      <w:spacing w:after="0" w:line="240" w:lineRule="auto"/>
    </w:pPr>
    <w:rPr>
      <w:sz w:val="20"/>
      <w:szCs w:val="20"/>
    </w:rPr>
  </w:style>
  <w:style w:type="character" w:customStyle="1" w:styleId="a4">
    <w:name w:val="טקסט הערת שוליים תו"/>
    <w:basedOn w:val="a0"/>
    <w:link w:val="a3"/>
    <w:uiPriority w:val="99"/>
    <w:semiHidden/>
    <w:rsid w:val="00233291"/>
    <w:rPr>
      <w:sz w:val="20"/>
      <w:szCs w:val="20"/>
    </w:rPr>
  </w:style>
  <w:style w:type="character" w:styleId="a5">
    <w:name w:val="footnote reference"/>
    <w:basedOn w:val="a0"/>
    <w:uiPriority w:val="99"/>
    <w:semiHidden/>
    <w:unhideWhenUsed/>
    <w:rsid w:val="00233291"/>
    <w:rPr>
      <w:vertAlign w:val="superscript"/>
    </w:rPr>
  </w:style>
  <w:style w:type="character" w:styleId="Hyperlink">
    <w:name w:val="Hyperlink"/>
    <w:basedOn w:val="a0"/>
    <w:uiPriority w:val="99"/>
    <w:semiHidden/>
    <w:unhideWhenUsed/>
    <w:rsid w:val="00313314"/>
    <w:rPr>
      <w:color w:val="0000FF" w:themeColor="hyperlink"/>
      <w:u w:val="single"/>
    </w:rPr>
  </w:style>
  <w:style w:type="paragraph" w:styleId="a6">
    <w:name w:val="List Paragraph"/>
    <w:basedOn w:val="a"/>
    <w:uiPriority w:val="34"/>
    <w:qFormat/>
    <w:rsid w:val="00CB2944"/>
    <w:pPr>
      <w:spacing w:after="0" w:line="240" w:lineRule="auto"/>
      <w:ind w:left="720"/>
    </w:pPr>
    <w:rPr>
      <w:rFonts w:ascii="Calibri" w:hAnsi="Calibri" w:cs="Times New Roman"/>
    </w:rPr>
  </w:style>
  <w:style w:type="paragraph" w:styleId="a7">
    <w:name w:val="Balloon Text"/>
    <w:basedOn w:val="a"/>
    <w:link w:val="a8"/>
    <w:uiPriority w:val="99"/>
    <w:semiHidden/>
    <w:unhideWhenUsed/>
    <w:rsid w:val="004B6958"/>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4B69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525827">
      <w:bodyDiv w:val="1"/>
      <w:marLeft w:val="0"/>
      <w:marRight w:val="0"/>
      <w:marTop w:val="0"/>
      <w:marBottom w:val="0"/>
      <w:divBdr>
        <w:top w:val="none" w:sz="0" w:space="0" w:color="auto"/>
        <w:left w:val="none" w:sz="0" w:space="0" w:color="auto"/>
        <w:bottom w:val="none" w:sz="0" w:space="0" w:color="auto"/>
        <w:right w:val="none" w:sz="0" w:space="0" w:color="auto"/>
      </w:divBdr>
    </w:div>
    <w:div w:id="416441995">
      <w:bodyDiv w:val="1"/>
      <w:marLeft w:val="0"/>
      <w:marRight w:val="0"/>
      <w:marTop w:val="0"/>
      <w:marBottom w:val="0"/>
      <w:divBdr>
        <w:top w:val="none" w:sz="0" w:space="0" w:color="auto"/>
        <w:left w:val="none" w:sz="0" w:space="0" w:color="auto"/>
        <w:bottom w:val="none" w:sz="0" w:space="0" w:color="auto"/>
        <w:right w:val="none" w:sz="0" w:space="0" w:color="auto"/>
      </w:divBdr>
    </w:div>
    <w:div w:id="870261492">
      <w:bodyDiv w:val="1"/>
      <w:marLeft w:val="0"/>
      <w:marRight w:val="0"/>
      <w:marTop w:val="0"/>
      <w:marBottom w:val="0"/>
      <w:divBdr>
        <w:top w:val="none" w:sz="0" w:space="0" w:color="auto"/>
        <w:left w:val="none" w:sz="0" w:space="0" w:color="auto"/>
        <w:bottom w:val="none" w:sz="0" w:space="0" w:color="auto"/>
        <w:right w:val="none" w:sz="0" w:space="0" w:color="auto"/>
      </w:divBdr>
    </w:div>
    <w:div w:id="1206721721">
      <w:bodyDiv w:val="1"/>
      <w:marLeft w:val="0"/>
      <w:marRight w:val="0"/>
      <w:marTop w:val="0"/>
      <w:marBottom w:val="0"/>
      <w:divBdr>
        <w:top w:val="none" w:sz="0" w:space="0" w:color="auto"/>
        <w:left w:val="none" w:sz="0" w:space="0" w:color="auto"/>
        <w:bottom w:val="none" w:sz="0" w:space="0" w:color="auto"/>
        <w:right w:val="none" w:sz="0" w:space="0" w:color="auto"/>
      </w:divBdr>
    </w:div>
    <w:div w:id="204173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nevo.co.il/case/5883086"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3B5795540EEF5748BB9CB3B85B5EAB42" ma:contentTypeVersion="1" ma:contentTypeDescription="צור מסמך חדש." ma:contentTypeScope="" ma:versionID="48b546a89460702e35a494065495eb72">
  <xsd:schema xmlns:xsd="http://www.w3.org/2001/XMLSchema" xmlns:p="http://schemas.microsoft.com/office/2006/metadata/properties" xmlns:ns1="http://schemas.microsoft.com/sharepoint/v3" targetNamespace="http://schemas.microsoft.com/office/2006/metadata/properties" ma:root="true" ma:fieldsID="8144f2777d6f160c888f271bceac058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מתזמן תאריך התחלה"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ma:readOnly="true"/>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57D5D-F369-40A1-B033-2D7EF02004A3}">
  <ds:schemaRefs>
    <ds:schemaRef ds:uri="http://purl.org/dc/dcmitype/"/>
    <ds:schemaRef ds:uri="http://purl.org/dc/elements/1.1/"/>
    <ds:schemaRef ds:uri="http://schemas.openxmlformats.org/package/2006/metadata/core-properties"/>
    <ds:schemaRef ds:uri="http://purl.org/dc/terms/"/>
    <ds:schemaRef ds:uri="http://schemas.microsoft.com/office/2006/documentManagement/types"/>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0A3B74D-33BE-4494-B294-1E6378D20B36}">
  <ds:schemaRefs>
    <ds:schemaRef ds:uri="http://schemas.microsoft.com/sharepoint/v3/contenttype/forms"/>
  </ds:schemaRefs>
</ds:datastoreItem>
</file>

<file path=customXml/itemProps3.xml><?xml version="1.0" encoding="utf-8"?>
<ds:datastoreItem xmlns:ds="http://schemas.openxmlformats.org/officeDocument/2006/customXml" ds:itemID="{BF664D6A-80B6-4C67-B7B6-7149DE055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D4C2337-9FB8-4ABD-85B3-F60D89A4B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BFD80367</Template>
  <TotalTime>1</TotalTime>
  <Pages>2</Pages>
  <Words>767</Words>
  <Characters>3836</Characters>
  <Application>Microsoft Office Word</Application>
  <DocSecurity>0</DocSecurity>
  <Lines>31</Lines>
  <Paragraphs>9</Paragraphs>
  <ScaleCrop>false</ScaleCrop>
  <HeadingPairs>
    <vt:vector size="2" baseType="variant">
      <vt:variant>
        <vt:lpstr>שם</vt:lpstr>
      </vt:variant>
      <vt:variant>
        <vt:i4>1</vt:i4>
      </vt:variant>
    </vt:vector>
  </HeadingPairs>
  <TitlesOfParts>
    <vt:vector size="1" baseType="lpstr">
      <vt:lpstr/>
    </vt:vector>
  </TitlesOfParts>
  <Company>College Of Management</Company>
  <LinksUpToDate>false</LinksUpToDate>
  <CharactersWithSpaces>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Dror Arad</dc:creator>
  <cp:lastModifiedBy>Getz pniel Adi</cp:lastModifiedBy>
  <cp:revision>2</cp:revision>
  <dcterms:created xsi:type="dcterms:W3CDTF">2015-11-20T16:50:00Z</dcterms:created>
  <dcterms:modified xsi:type="dcterms:W3CDTF">2015-11-20T16:50:00Z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0x0101003B5795540EEF5748BB9CB3B85B5EAB42</vt:lpwstr>
  </property>
</Properties>
</file>