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23" w:rsidRDefault="00E57523" w:rsidP="00EF17D2">
      <w:pPr>
        <w:shd w:val="clear" w:color="auto" w:fill="FFFFFF"/>
        <w:spacing w:after="0" w:line="240" w:lineRule="auto"/>
        <w:jc w:val="both"/>
        <w:rPr>
          <w:rFonts w:ascii="Arial" w:eastAsia="Times New Roman" w:hAnsi="Arial" w:cs="David" w:hint="cs"/>
          <w:color w:val="000000"/>
          <w:sz w:val="24"/>
          <w:szCs w:val="24"/>
          <w:rtl/>
        </w:rPr>
      </w:pPr>
    </w:p>
    <w:p w:rsidR="00E57523" w:rsidRPr="00E57523" w:rsidRDefault="00E57523" w:rsidP="00E57523">
      <w:pPr>
        <w:shd w:val="clear" w:color="auto" w:fill="FFFFFF"/>
        <w:spacing w:after="0" w:line="240" w:lineRule="auto"/>
        <w:jc w:val="both"/>
        <w:rPr>
          <w:rFonts w:cs="David" w:hint="cs"/>
          <w:color w:val="4F81BD"/>
          <w:sz w:val="32"/>
          <w:szCs w:val="32"/>
          <w:rtl/>
        </w:rPr>
      </w:pPr>
      <w:r w:rsidRPr="00E57523">
        <w:rPr>
          <w:rFonts w:cs="David" w:hint="cs"/>
          <w:color w:val="4F81BD"/>
          <w:sz w:val="32"/>
          <w:szCs w:val="32"/>
          <w:rtl/>
        </w:rPr>
        <w:t>על</w:t>
      </w:r>
      <w:r w:rsidRPr="00E57523">
        <w:rPr>
          <w:rFonts w:cs="David"/>
          <w:color w:val="4F81BD"/>
          <w:sz w:val="32"/>
          <w:szCs w:val="32"/>
          <w:rtl/>
        </w:rPr>
        <w:t xml:space="preserve"> (</w:t>
      </w:r>
      <w:r w:rsidRPr="00E57523">
        <w:rPr>
          <w:rFonts w:cs="David" w:hint="cs"/>
          <w:color w:val="4F81BD"/>
          <w:sz w:val="32"/>
          <w:szCs w:val="32"/>
          <w:rtl/>
        </w:rPr>
        <w:t>אי</w:t>
      </w:r>
      <w:r w:rsidRPr="00E57523">
        <w:rPr>
          <w:rFonts w:cs="David"/>
          <w:color w:val="4F81BD"/>
          <w:sz w:val="32"/>
          <w:szCs w:val="32"/>
          <w:rtl/>
        </w:rPr>
        <w:t xml:space="preserve">) </w:t>
      </w:r>
      <w:r w:rsidRPr="00E57523">
        <w:rPr>
          <w:rFonts w:cs="David" w:hint="cs"/>
          <w:color w:val="4F81BD"/>
          <w:sz w:val="32"/>
          <w:szCs w:val="32"/>
          <w:rtl/>
        </w:rPr>
        <w:t>התערבות</w:t>
      </w:r>
      <w:r w:rsidRPr="00E57523">
        <w:rPr>
          <w:rFonts w:cs="David"/>
          <w:color w:val="4F81BD"/>
          <w:sz w:val="32"/>
          <w:szCs w:val="32"/>
          <w:rtl/>
        </w:rPr>
        <w:t xml:space="preserve"> </w:t>
      </w:r>
      <w:r w:rsidRPr="00E57523">
        <w:rPr>
          <w:rFonts w:cs="David" w:hint="cs"/>
          <w:color w:val="4F81BD"/>
          <w:sz w:val="32"/>
          <w:szCs w:val="32"/>
          <w:rtl/>
        </w:rPr>
        <w:t>בית</w:t>
      </w:r>
      <w:r w:rsidRPr="00E57523">
        <w:rPr>
          <w:rFonts w:cs="David"/>
          <w:color w:val="4F81BD"/>
          <w:sz w:val="32"/>
          <w:szCs w:val="32"/>
          <w:rtl/>
        </w:rPr>
        <w:t xml:space="preserve"> </w:t>
      </w:r>
      <w:r w:rsidRPr="00E57523">
        <w:rPr>
          <w:rFonts w:cs="David" w:hint="cs"/>
          <w:color w:val="4F81BD"/>
          <w:sz w:val="32"/>
          <w:szCs w:val="32"/>
          <w:rtl/>
        </w:rPr>
        <w:t>המשפט</w:t>
      </w:r>
      <w:r w:rsidRPr="00E57523">
        <w:rPr>
          <w:rFonts w:cs="David"/>
          <w:color w:val="4F81BD"/>
          <w:sz w:val="32"/>
          <w:szCs w:val="32"/>
          <w:rtl/>
        </w:rPr>
        <w:t xml:space="preserve"> </w:t>
      </w:r>
      <w:r w:rsidRPr="00E57523">
        <w:rPr>
          <w:rFonts w:cs="David" w:hint="cs"/>
          <w:color w:val="4F81BD"/>
          <w:sz w:val="32"/>
          <w:szCs w:val="32"/>
          <w:rtl/>
        </w:rPr>
        <w:t>העליון</w:t>
      </w:r>
      <w:r w:rsidRPr="00E57523">
        <w:rPr>
          <w:rFonts w:cs="David"/>
          <w:color w:val="4F81BD"/>
          <w:sz w:val="32"/>
          <w:szCs w:val="32"/>
          <w:rtl/>
        </w:rPr>
        <w:t xml:space="preserve"> </w:t>
      </w:r>
      <w:r w:rsidRPr="00E57523">
        <w:rPr>
          <w:rFonts w:cs="David" w:hint="cs"/>
          <w:color w:val="4F81BD"/>
          <w:sz w:val="32"/>
          <w:szCs w:val="32"/>
          <w:rtl/>
        </w:rPr>
        <w:t>בהליכי</w:t>
      </w:r>
      <w:r w:rsidRPr="00E57523">
        <w:rPr>
          <w:rFonts w:cs="David"/>
          <w:color w:val="4F81BD"/>
          <w:sz w:val="32"/>
          <w:szCs w:val="32"/>
          <w:rtl/>
        </w:rPr>
        <w:t xml:space="preserve"> </w:t>
      </w:r>
      <w:r w:rsidRPr="00E57523">
        <w:rPr>
          <w:rFonts w:cs="David" w:hint="cs"/>
          <w:color w:val="4F81BD"/>
          <w:sz w:val="32"/>
          <w:szCs w:val="32"/>
          <w:rtl/>
        </w:rPr>
        <w:t>משמעת</w:t>
      </w:r>
    </w:p>
    <w:p w:rsidR="00E57523" w:rsidRPr="00B562BC" w:rsidRDefault="00E57523" w:rsidP="00E57523">
      <w:pPr>
        <w:spacing w:line="360" w:lineRule="auto"/>
        <w:contextualSpacing/>
        <w:rPr>
          <w:rFonts w:cs="David" w:hint="cs"/>
          <w:b/>
          <w:bCs/>
          <w:sz w:val="28"/>
          <w:szCs w:val="28"/>
          <w:rtl/>
        </w:rPr>
      </w:pPr>
      <w:r w:rsidRPr="00B562BC">
        <w:rPr>
          <w:rFonts w:cs="David" w:hint="cs"/>
          <w:b/>
          <w:bCs/>
          <w:sz w:val="28"/>
          <w:szCs w:val="28"/>
          <w:rtl/>
        </w:rPr>
        <w:t>עו"ד דרור ארד-</w:t>
      </w:r>
      <w:proofErr w:type="spellStart"/>
      <w:r w:rsidRPr="00B562BC">
        <w:rPr>
          <w:rFonts w:cs="David" w:hint="cs"/>
          <w:b/>
          <w:bCs/>
          <w:sz w:val="28"/>
          <w:szCs w:val="28"/>
          <w:rtl/>
        </w:rPr>
        <w:t>אילון</w:t>
      </w:r>
      <w:proofErr w:type="spellEnd"/>
      <w:r w:rsidRPr="00B562BC">
        <w:rPr>
          <w:rFonts w:cs="David" w:hint="cs"/>
          <w:b/>
          <w:bCs/>
          <w:sz w:val="28"/>
          <w:szCs w:val="28"/>
          <w:rtl/>
        </w:rPr>
        <w:t xml:space="preserve"> / יו"ר ועדת האתיקה הארצית</w:t>
      </w:r>
    </w:p>
    <w:p w:rsidR="00E57523" w:rsidRDefault="00E57523" w:rsidP="00EF17D2">
      <w:pPr>
        <w:shd w:val="clear" w:color="auto" w:fill="FFFFFF"/>
        <w:spacing w:after="0" w:line="240" w:lineRule="auto"/>
        <w:jc w:val="both"/>
        <w:rPr>
          <w:rFonts w:ascii="Arial" w:eastAsia="Times New Roman" w:hAnsi="Arial"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color w:val="000000"/>
          <w:sz w:val="24"/>
          <w:szCs w:val="24"/>
        </w:rPr>
      </w:pPr>
      <w:r w:rsidRPr="00EF17D2">
        <w:rPr>
          <w:rFonts w:ascii="Arial" w:eastAsia="Times New Roman" w:hAnsi="Arial" w:cs="David" w:hint="cs"/>
          <w:color w:val="000000"/>
          <w:sz w:val="24"/>
          <w:szCs w:val="24"/>
          <w:rtl/>
        </w:rPr>
        <w:t xml:space="preserve">בעת שישב </w:t>
      </w:r>
      <w:proofErr w:type="spellStart"/>
      <w:r w:rsidRPr="00EF17D2">
        <w:rPr>
          <w:rFonts w:ascii="Arial" w:eastAsia="Times New Roman" w:hAnsi="Arial" w:cs="David" w:hint="cs"/>
          <w:color w:val="000000"/>
          <w:sz w:val="24"/>
          <w:szCs w:val="24"/>
          <w:rtl/>
        </w:rPr>
        <w:t>כערכאת</w:t>
      </w:r>
      <w:proofErr w:type="spellEnd"/>
      <w:r w:rsidRPr="00EF17D2">
        <w:rPr>
          <w:rFonts w:ascii="Arial" w:eastAsia="Times New Roman" w:hAnsi="Arial" w:cs="David" w:hint="cs"/>
          <w:color w:val="000000"/>
          <w:sz w:val="24"/>
          <w:szCs w:val="24"/>
          <w:rtl/>
        </w:rPr>
        <w:t xml:space="preserve"> ערעור </w:t>
      </w:r>
      <w:proofErr w:type="spellStart"/>
      <w:r w:rsidRPr="00EF17D2">
        <w:rPr>
          <w:rFonts w:ascii="Arial" w:eastAsia="Times New Roman" w:hAnsi="Arial" w:cs="David" w:hint="cs"/>
          <w:color w:val="000000"/>
          <w:sz w:val="24"/>
          <w:szCs w:val="24"/>
          <w:rtl/>
        </w:rPr>
        <w:t>שניה</w:t>
      </w:r>
      <w:proofErr w:type="spellEnd"/>
      <w:r w:rsidRPr="00EF17D2">
        <w:rPr>
          <w:rFonts w:ascii="Arial" w:eastAsia="Times New Roman" w:hAnsi="Arial" w:cs="David" w:hint="cs"/>
          <w:color w:val="000000"/>
          <w:sz w:val="24"/>
          <w:szCs w:val="24"/>
          <w:rtl/>
        </w:rPr>
        <w:t xml:space="preserve"> על הליכי משמעת קבע בית המשפט העליון את ההלכה לפיה בתי הדין המשמעתיים הם הגורם המופקד על שמירת כללי האתיקה והם "סוללים את שביל המותר ושומרים את גבולותיו", ותפקידו שלו הוא פיקוח ובקרה במקרים חריגים (</w:t>
      </w:r>
      <w:hyperlink r:id="rId4" w:tgtFrame="_blank" w:history="1">
        <w:r w:rsidRPr="00EF17D2">
          <w:rPr>
            <w:rFonts w:ascii="Arial" w:eastAsia="Times New Roman" w:hAnsi="Arial" w:cs="David" w:hint="cs"/>
            <w:color w:val="706158"/>
            <w:sz w:val="24"/>
            <w:szCs w:val="24"/>
            <w:u w:val="single"/>
            <w:rtl/>
          </w:rPr>
          <w:t xml:space="preserve">על"ע 9/89 </w:t>
        </w:r>
        <w:r w:rsidRPr="00EF17D2">
          <w:rPr>
            <w:rFonts w:ascii="Arial" w:eastAsia="Times New Roman" w:hAnsi="Arial" w:cs="David" w:hint="cs"/>
            <w:b/>
            <w:bCs/>
            <w:color w:val="706158"/>
            <w:sz w:val="24"/>
            <w:szCs w:val="24"/>
            <w:u w:val="single"/>
            <w:rtl/>
          </w:rPr>
          <w:t>יובל נ' הוועד המחוזי</w:t>
        </w:r>
      </w:hyperlink>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פד"י</w:t>
      </w:r>
      <w:proofErr w:type="spellEnd"/>
      <w:r w:rsidRPr="00EF17D2">
        <w:rPr>
          <w:rFonts w:ascii="Arial" w:eastAsia="Times New Roman" w:hAnsi="Arial" w:cs="David" w:hint="cs"/>
          <w:color w:val="000000"/>
          <w:sz w:val="24"/>
          <w:szCs w:val="24"/>
          <w:rtl/>
        </w:rPr>
        <w:t xml:space="preserve"> מ"ד (1) 706, 709).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 xml:space="preserve">מנגד, בשורה של פסקי דין מהעת האחרונה, נראה שבית המשפט המחוזי בירושלים </w:t>
      </w:r>
      <w:proofErr w:type="spellStart"/>
      <w:r w:rsidRPr="00EF17D2">
        <w:rPr>
          <w:rFonts w:ascii="Arial" w:eastAsia="Times New Roman" w:hAnsi="Arial" w:cs="David" w:hint="cs"/>
          <w:color w:val="000000"/>
          <w:sz w:val="24"/>
          <w:szCs w:val="24"/>
          <w:rtl/>
        </w:rPr>
        <w:t>כערכאת</w:t>
      </w:r>
      <w:proofErr w:type="spellEnd"/>
      <w:r w:rsidRPr="00EF17D2">
        <w:rPr>
          <w:rFonts w:ascii="Arial" w:eastAsia="Times New Roman" w:hAnsi="Arial" w:cs="David" w:hint="cs"/>
          <w:color w:val="000000"/>
          <w:sz w:val="24"/>
          <w:szCs w:val="24"/>
          <w:rtl/>
        </w:rPr>
        <w:t xml:space="preserve"> ערעור משמעתית </w:t>
      </w:r>
      <w:proofErr w:type="spellStart"/>
      <w:r w:rsidRPr="00EF17D2">
        <w:rPr>
          <w:rFonts w:ascii="Arial" w:eastAsia="Times New Roman" w:hAnsi="Arial" w:cs="David" w:hint="cs"/>
          <w:color w:val="000000"/>
          <w:sz w:val="24"/>
          <w:szCs w:val="24"/>
          <w:rtl/>
        </w:rPr>
        <w:t>שניה</w:t>
      </w:r>
      <w:proofErr w:type="spellEnd"/>
      <w:r w:rsidRPr="00EF17D2">
        <w:rPr>
          <w:rFonts w:ascii="Arial" w:eastAsia="Times New Roman" w:hAnsi="Arial" w:cs="David" w:hint="cs"/>
          <w:color w:val="000000"/>
          <w:sz w:val="24"/>
          <w:szCs w:val="24"/>
          <w:rtl/>
        </w:rPr>
        <w:t xml:space="preserve"> (סמכות שהועברה אליו בעקבות תיקון 32 לחוק הלשכה) הרחיב את היקף פסיקתו בניגוד להלכה הפסוקה כאמור והפך "לסולל השביל". בית המשפט העליון שדן בעניין </w:t>
      </w:r>
      <w:proofErr w:type="spellStart"/>
      <w:r w:rsidRPr="00EF17D2">
        <w:rPr>
          <w:rFonts w:ascii="Arial" w:eastAsia="Times New Roman" w:hAnsi="Arial" w:cs="David" w:hint="cs"/>
          <w:color w:val="000000"/>
          <w:sz w:val="24"/>
          <w:szCs w:val="24"/>
          <w:rtl/>
        </w:rPr>
        <w:t>כערכאת</w:t>
      </w:r>
      <w:proofErr w:type="spellEnd"/>
      <w:r w:rsidRPr="00EF17D2">
        <w:rPr>
          <w:rFonts w:ascii="Arial" w:eastAsia="Times New Roman" w:hAnsi="Arial" w:cs="David" w:hint="cs"/>
          <w:color w:val="000000"/>
          <w:sz w:val="24"/>
          <w:szCs w:val="24"/>
          <w:rtl/>
        </w:rPr>
        <w:t xml:space="preserve"> ערעור ברשות, נמנע מהתערבות על יסוד הלכת חניון חיפה ואימוצה בהליכי משמעת. (רע"א 103/82 </w:t>
      </w:r>
      <w:r w:rsidRPr="00EF17D2">
        <w:rPr>
          <w:rFonts w:ascii="Arial" w:eastAsia="Times New Roman" w:hAnsi="Arial" w:cs="David" w:hint="cs"/>
          <w:b/>
          <w:bCs/>
          <w:color w:val="000000"/>
          <w:sz w:val="24"/>
          <w:szCs w:val="24"/>
          <w:rtl/>
        </w:rPr>
        <w:t>חניון חיפה בע"מ נ' מצת אור בע"מ</w:t>
      </w:r>
      <w:r w:rsidRPr="00EF17D2">
        <w:rPr>
          <w:rFonts w:ascii="Arial" w:eastAsia="Times New Roman" w:hAnsi="Arial" w:cs="David" w:hint="cs"/>
          <w:color w:val="000000"/>
          <w:sz w:val="24"/>
          <w:szCs w:val="24"/>
          <w:rtl/>
        </w:rPr>
        <w:t xml:space="preserve">, פ"ד לו (3) 123; </w:t>
      </w:r>
      <w:hyperlink r:id="rId5" w:tgtFrame="_blank" w:history="1">
        <w:r w:rsidRPr="00EF17D2">
          <w:rPr>
            <w:rFonts w:ascii="Arial" w:eastAsia="Times New Roman" w:hAnsi="Arial" w:cs="David" w:hint="cs"/>
            <w:color w:val="706158"/>
            <w:sz w:val="24"/>
            <w:szCs w:val="24"/>
            <w:u w:val="single"/>
            <w:rtl/>
          </w:rPr>
          <w:t xml:space="preserve">בר"ע 1958/09 </w:t>
        </w:r>
        <w:r w:rsidRPr="00EF17D2">
          <w:rPr>
            <w:rFonts w:ascii="Arial" w:eastAsia="Times New Roman" w:hAnsi="Arial" w:cs="David" w:hint="cs"/>
            <w:b/>
            <w:bCs/>
            <w:color w:val="706158"/>
            <w:sz w:val="24"/>
            <w:szCs w:val="24"/>
            <w:u w:val="single"/>
            <w:rtl/>
          </w:rPr>
          <w:t>עו"ד ברי נ' הועד המחוזי</w:t>
        </w:r>
      </w:hyperlink>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ב- 10.5.2009)).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 xml:space="preserve">בפרשה הראשונה, הואשם עורך דין אשר ערך צוואה בה יועד סכום כסף להקמת קרן כשהצוואה כללה הוראה בדבר מינויו כמוציא לפועל שלה. לאחר מות המצווה לא מונו מוציאים לפועל, לא הוקמה הקרן ולימים כשאחד היורשים ביקש להורות על הקמתה, ייצג עורך הדין את האלמנה בהתנגדות להקמה. בהליכים האזרחיים נדחתה ההתנגדות ונקבעו ממצאים חריפים לגבי עורך הדין. בהליכי המשמעת, זוכה עורך הדין מחמת הספק בבית הדין המחוזי והורשע בבית הדין הארצי. בית המשפט המחוזי נכנס לגופה של מחלוקת, דן הן בשאלות שהתבררו בהליכים האזרחיים והן בפרטי הפרטים של השאלות שהתבררו בערכאה </w:t>
      </w:r>
      <w:proofErr w:type="spellStart"/>
      <w:r w:rsidRPr="00EF17D2">
        <w:rPr>
          <w:rFonts w:ascii="Arial" w:eastAsia="Times New Roman" w:hAnsi="Arial" w:cs="David" w:hint="cs"/>
          <w:color w:val="000000"/>
          <w:sz w:val="24"/>
          <w:szCs w:val="24"/>
          <w:rtl/>
        </w:rPr>
        <w:t>הדיונית</w:t>
      </w:r>
      <w:proofErr w:type="spellEnd"/>
      <w:r w:rsidRPr="00EF17D2">
        <w:rPr>
          <w:rFonts w:ascii="Arial" w:eastAsia="Times New Roman" w:hAnsi="Arial" w:cs="David" w:hint="cs"/>
          <w:color w:val="000000"/>
          <w:sz w:val="24"/>
          <w:szCs w:val="24"/>
          <w:rtl/>
        </w:rPr>
        <w:t>, ולבסוף הורה על זיכוי עורך הדין, כשהוא קובע הלכה חדשה בדין המשמעתי לפיה "חובותיו האתיות של עורך דין באות לידי סיום עם מותו של הלקוח" וכי עורך דין שערך צוואה פטור מחובותיו כלפי לקוחו לאחר פטירת הלקוח אף אם הן נקובות בצוואה. (</w:t>
      </w:r>
      <w:proofErr w:type="spellStart"/>
      <w:r w:rsidRPr="00EF17D2">
        <w:rPr>
          <w:rFonts w:ascii="Arial" w:eastAsia="Times New Roman" w:hAnsi="Arial" w:cs="David"/>
          <w:color w:val="000000"/>
          <w:sz w:val="24"/>
          <w:szCs w:val="24"/>
          <w:u w:val="single"/>
          <w:rtl/>
        </w:rPr>
        <w:fldChar w:fldCharType="begin"/>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Pr>
        <w:instrText>HYPERLINK "http://www.pador.co.il/etika/DocumentDisplay/ShowDocument.aspx?mode=simple&amp;docID=1026640&amp;sessionID=1&amp;type=default&amp;name=01026640.txt&amp;q=%D7%A2%D7%9E%D7%9C%22%D7%A2+9069-05-11+%D7%90%D7%91%D7%A8%D7%94%D7%9E%D7%99+%D7%A0" \t "_blank</w:instrText>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tl/>
        </w:rPr>
        <w:fldChar w:fldCharType="separate"/>
      </w:r>
      <w:r w:rsidRPr="00EF17D2">
        <w:rPr>
          <w:rFonts w:ascii="Arial" w:eastAsia="Times New Roman" w:hAnsi="Arial" w:cs="David" w:hint="cs"/>
          <w:color w:val="706158"/>
          <w:sz w:val="24"/>
          <w:szCs w:val="24"/>
          <w:u w:val="single"/>
          <w:rtl/>
        </w:rPr>
        <w:t>עמל"ע</w:t>
      </w:r>
      <w:proofErr w:type="spellEnd"/>
      <w:r w:rsidRPr="00EF17D2">
        <w:rPr>
          <w:rFonts w:ascii="Arial" w:eastAsia="Times New Roman" w:hAnsi="Arial" w:cs="David" w:hint="cs"/>
          <w:color w:val="706158"/>
          <w:sz w:val="24"/>
          <w:szCs w:val="24"/>
          <w:u w:val="single"/>
          <w:rtl/>
        </w:rPr>
        <w:t xml:space="preserve"> 9069-05-11 </w:t>
      </w:r>
      <w:r w:rsidRPr="00EF17D2">
        <w:rPr>
          <w:rFonts w:ascii="Arial" w:eastAsia="Times New Roman" w:hAnsi="Arial" w:cs="David" w:hint="cs"/>
          <w:b/>
          <w:bCs/>
          <w:color w:val="706158"/>
          <w:sz w:val="24"/>
          <w:szCs w:val="24"/>
          <w:u w:val="single"/>
          <w:rtl/>
        </w:rPr>
        <w:t>אברהמי נ' הועד המרכזי</w:t>
      </w:r>
      <w:r w:rsidRPr="00EF17D2">
        <w:rPr>
          <w:rFonts w:ascii="Arial" w:eastAsia="Times New Roman" w:hAnsi="Arial" w:cs="David"/>
          <w:color w:val="000000"/>
          <w:sz w:val="24"/>
          <w:szCs w:val="24"/>
          <w:u w:val="single"/>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ב- 11.1.2013)).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בית המשפט העליון אליו הוגשה בקשת רשות לערער על קביעה חדשנית זו, קבע שעורך הדין העמיד עצמו בניגוד עניינים ולא נהג כראוי בכך שקיבל על עצמו לייצג את האלמנה בניגוד להתחייבויותיו למנוח (שפורטו בצוואה). בית המשפט העליון קבע כי "ישנה גם חובת נאמנות של עורך דין כלפי הלקוח שהלך לבית עולמו." אולם, בסופו של יום, החליט שלא לתת רשות לערער בהסבירו שנדרשת שאלה ציבורית בעלת חשיבות ונסיבות נדירות במיוחד כדי לתת ערעור שלישי. (</w:t>
      </w:r>
      <w:proofErr w:type="spellStart"/>
      <w:r w:rsidRPr="00EF17D2">
        <w:rPr>
          <w:rFonts w:ascii="Arial" w:eastAsia="Times New Roman" w:hAnsi="Arial" w:cs="David"/>
          <w:color w:val="000000"/>
          <w:sz w:val="24"/>
          <w:szCs w:val="24"/>
          <w:u w:val="single"/>
          <w:rtl/>
        </w:rPr>
        <w:fldChar w:fldCharType="begin"/>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Pr>
        <w:instrText>HYPERLINK "http://www.pador.co.il/etika/DocumentDisplay/ShowDocument.aspx?mode=simple&amp;docID=1062536&amp;sessionID=1&amp;type=default&amp;name=01062536.txt&amp;q=%D7%A2%D7%9E%D7%9C%22%D7%A2+9069-05-11+%D7%90%D7%91%D7%A8%D7%94%D7%9E%D7%99+%D7%A0" \t "_blank</w:instrText>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tl/>
        </w:rPr>
        <w:fldChar w:fldCharType="separate"/>
      </w:r>
      <w:r w:rsidRPr="00EF17D2">
        <w:rPr>
          <w:rFonts w:ascii="Arial" w:eastAsia="Times New Roman" w:hAnsi="Arial" w:cs="David" w:hint="cs"/>
          <w:color w:val="706158"/>
          <w:sz w:val="24"/>
          <w:szCs w:val="24"/>
          <w:u w:val="single"/>
          <w:rtl/>
        </w:rPr>
        <w:t>בר"ש</w:t>
      </w:r>
      <w:proofErr w:type="spellEnd"/>
      <w:r w:rsidRPr="00EF17D2">
        <w:rPr>
          <w:rFonts w:ascii="Arial" w:eastAsia="Times New Roman" w:hAnsi="Arial" w:cs="David" w:hint="cs"/>
          <w:color w:val="706158"/>
          <w:sz w:val="24"/>
          <w:szCs w:val="24"/>
          <w:u w:val="single"/>
          <w:rtl/>
        </w:rPr>
        <w:t xml:space="preserve"> 1180/13 </w:t>
      </w:r>
      <w:r w:rsidRPr="00EF17D2">
        <w:rPr>
          <w:rFonts w:ascii="Arial" w:eastAsia="Times New Roman" w:hAnsi="Arial" w:cs="David" w:hint="cs"/>
          <w:b/>
          <w:bCs/>
          <w:color w:val="706158"/>
          <w:sz w:val="24"/>
          <w:szCs w:val="24"/>
          <w:u w:val="single"/>
          <w:rtl/>
        </w:rPr>
        <w:t>הועד המרכזי נ' אברהמי</w:t>
      </w:r>
      <w:r w:rsidRPr="00EF17D2">
        <w:rPr>
          <w:rFonts w:ascii="Arial" w:eastAsia="Times New Roman" w:hAnsi="Arial" w:cs="David"/>
          <w:color w:val="000000"/>
          <w:sz w:val="24"/>
          <w:szCs w:val="24"/>
          <w:u w:val="single"/>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ב- 17.3.2013)).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בפרשה השנייה, בית הדין המחוזי גזר על עורך דין השעיה בפועל של שלוש שנים בגין התבטאויות חריפות ביותר. ערעור שהגישה הלשכה נדחה בשל איחור. ערעור עורך הדין על קולת העונש דווקא התקבל ועונשו הועמד על שנה אחת. הלשכה ערערה לבית המשפט המחוזי בירושלים, וזה קיבל את הערעור וגזר את עונשו של עורך הדין לשש שנות השעיה בפועל - כפליים מהעונש שקיבל במחוזי ופי שש (!) מהעונש שהוטל בארצי. (</w:t>
      </w:r>
      <w:proofErr w:type="spellStart"/>
      <w:r w:rsidRPr="00EF17D2">
        <w:rPr>
          <w:rFonts w:ascii="Arial" w:eastAsia="Times New Roman" w:hAnsi="Arial" w:cs="David"/>
          <w:color w:val="000000"/>
          <w:sz w:val="24"/>
          <w:szCs w:val="24"/>
          <w:rtl/>
        </w:rPr>
        <w:fldChar w:fldCharType="begin"/>
      </w:r>
      <w:r w:rsidRPr="00EF17D2">
        <w:rPr>
          <w:rFonts w:ascii="Arial" w:eastAsia="Times New Roman" w:hAnsi="Arial" w:cs="David"/>
          <w:color w:val="000000"/>
          <w:sz w:val="24"/>
          <w:szCs w:val="24"/>
          <w:rtl/>
        </w:rPr>
        <w:instrText xml:space="preserve"> </w:instrText>
      </w:r>
      <w:r w:rsidRPr="00EF17D2">
        <w:rPr>
          <w:rFonts w:ascii="Arial" w:eastAsia="Times New Roman" w:hAnsi="Arial" w:cs="David"/>
          <w:color w:val="000000"/>
          <w:sz w:val="24"/>
          <w:szCs w:val="24"/>
        </w:rPr>
        <w:instrText>HYPERLINK "http://www.pador.co.il/etika/DocumentDisplay/ShowDocument.aspx?mode=simple&amp;docID=1086983&amp;sessionID=1&amp;type=default&amp;name=01086983.txt&amp;q=%D7%A2%D7%9E%D7%9C%22%D7%A2+4393-09-12&amp;title=%D7%A2%D7%9E%D7%9C%D7%A2+4393-09-12+%D7%A9%D7%99+%D7%97%D7%99%D7%99%D7%9E%D7%95%D7%91+%D7%A0" \t "_blank</w:instrText>
      </w:r>
      <w:r w:rsidRPr="00EF17D2">
        <w:rPr>
          <w:rFonts w:ascii="Arial" w:eastAsia="Times New Roman" w:hAnsi="Arial" w:cs="David"/>
          <w:color w:val="000000"/>
          <w:sz w:val="24"/>
          <w:szCs w:val="24"/>
          <w:rtl/>
        </w:rPr>
        <w:instrText xml:space="preserve">" </w:instrText>
      </w:r>
      <w:r w:rsidRPr="00EF17D2">
        <w:rPr>
          <w:rFonts w:ascii="Arial" w:eastAsia="Times New Roman" w:hAnsi="Arial" w:cs="David"/>
          <w:color w:val="000000"/>
          <w:sz w:val="24"/>
          <w:szCs w:val="24"/>
          <w:rtl/>
        </w:rPr>
        <w:fldChar w:fldCharType="separate"/>
      </w:r>
      <w:r w:rsidRPr="00EF17D2">
        <w:rPr>
          <w:rFonts w:ascii="Arial" w:eastAsia="Times New Roman" w:hAnsi="Arial" w:cs="David" w:hint="cs"/>
          <w:color w:val="706158"/>
          <w:sz w:val="24"/>
          <w:szCs w:val="24"/>
          <w:u w:val="single"/>
          <w:rtl/>
        </w:rPr>
        <w:t>עמל"ע</w:t>
      </w:r>
      <w:proofErr w:type="spellEnd"/>
      <w:r w:rsidRPr="00EF17D2">
        <w:rPr>
          <w:rFonts w:ascii="Arial" w:eastAsia="Times New Roman" w:hAnsi="Arial" w:cs="David" w:hint="cs"/>
          <w:color w:val="706158"/>
          <w:sz w:val="24"/>
          <w:szCs w:val="24"/>
          <w:u w:val="single"/>
          <w:rtl/>
        </w:rPr>
        <w:t xml:space="preserve"> 4393-09-12</w:t>
      </w:r>
      <w:r w:rsidRPr="00EF17D2">
        <w:rPr>
          <w:rFonts w:ascii="Arial" w:eastAsia="Times New Roman" w:hAnsi="Arial" w:cs="David" w:hint="cs"/>
          <w:color w:val="706158"/>
          <w:sz w:val="24"/>
          <w:szCs w:val="24"/>
          <w:rtl/>
        </w:rPr>
        <w:t xml:space="preserve">, </w:t>
      </w:r>
      <w:proofErr w:type="spellStart"/>
      <w:r w:rsidRPr="00EF17D2">
        <w:rPr>
          <w:rFonts w:ascii="Arial" w:eastAsia="Times New Roman" w:hAnsi="Arial" w:cs="David" w:hint="cs"/>
          <w:color w:val="706158"/>
          <w:sz w:val="24"/>
          <w:szCs w:val="24"/>
          <w:u w:val="single"/>
          <w:rtl/>
        </w:rPr>
        <w:t>עמל"ע</w:t>
      </w:r>
      <w:proofErr w:type="spellEnd"/>
      <w:r w:rsidRPr="00EF17D2">
        <w:rPr>
          <w:rFonts w:ascii="Arial" w:eastAsia="Times New Roman" w:hAnsi="Arial" w:cs="David" w:hint="cs"/>
          <w:color w:val="706158"/>
          <w:sz w:val="24"/>
          <w:szCs w:val="24"/>
          <w:u w:val="single"/>
          <w:rtl/>
        </w:rPr>
        <w:t xml:space="preserve"> 37443-09-12 </w:t>
      </w:r>
      <w:r w:rsidRPr="00EF17D2">
        <w:rPr>
          <w:rFonts w:ascii="Arial" w:eastAsia="Times New Roman" w:hAnsi="Arial" w:cs="David" w:hint="cs"/>
          <w:b/>
          <w:bCs/>
          <w:color w:val="706158"/>
          <w:sz w:val="24"/>
          <w:szCs w:val="24"/>
          <w:u w:val="single"/>
          <w:rtl/>
        </w:rPr>
        <w:t xml:space="preserve">ועדת האתיקה נ' </w:t>
      </w:r>
      <w:proofErr w:type="spellStart"/>
      <w:r w:rsidRPr="00EF17D2">
        <w:rPr>
          <w:rFonts w:ascii="Arial" w:eastAsia="Times New Roman" w:hAnsi="Arial" w:cs="David" w:hint="cs"/>
          <w:b/>
          <w:bCs/>
          <w:color w:val="706158"/>
          <w:sz w:val="24"/>
          <w:szCs w:val="24"/>
          <w:u w:val="single"/>
          <w:rtl/>
        </w:rPr>
        <w:t>חיימוב</w:t>
      </w:r>
      <w:proofErr w:type="spellEnd"/>
      <w:r w:rsidRPr="00EF17D2">
        <w:rPr>
          <w:rFonts w:ascii="Arial" w:eastAsia="Times New Roman" w:hAnsi="Arial" w:cs="David" w:hint="cs"/>
          <w:b/>
          <w:bCs/>
          <w:color w:val="706158"/>
          <w:sz w:val="24"/>
          <w:szCs w:val="24"/>
          <w:u w:val="single"/>
          <w:rtl/>
        </w:rPr>
        <w:t xml:space="preserve"> וערעור נגדי</w:t>
      </w:r>
      <w:r w:rsidRPr="00EF17D2">
        <w:rPr>
          <w:rFonts w:ascii="Arial" w:eastAsia="Times New Roman" w:hAnsi="Arial" w:cs="David"/>
          <w:color w:val="000000"/>
          <w:sz w:val="24"/>
          <w:szCs w:val="24"/>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ב- 6.5.2013)).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בקשת רשות לערער שהגיש עורך הדין לבית המשפט העליון נדחתה. בית המשפט העליון קבע שהתווית מדיניות הענישה ראוי לה שתעשה בבתי הדין המשמעתיים, וכי יש יסוד מטריד בנסיבות גזירת העונש שהובילו להכפלתו (פי שש) בערכאה השלישית לאחר שב"כ הלשכה לא ביקש אלא להעלות את העונש משנה לשלוש שנים. (</w:t>
      </w:r>
      <w:proofErr w:type="spellStart"/>
      <w:r w:rsidRPr="00EF17D2">
        <w:rPr>
          <w:rFonts w:ascii="Arial" w:eastAsia="Times New Roman" w:hAnsi="Arial" w:cs="David"/>
          <w:color w:val="000000"/>
          <w:sz w:val="24"/>
          <w:szCs w:val="24"/>
          <w:u w:val="single"/>
          <w:rtl/>
        </w:rPr>
        <w:fldChar w:fldCharType="begin"/>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Pr>
        <w:instrText>HYPERLINK "http://www.pador.co.il/etika/DocumentDisplay/ShowDocument.aspx?mode=simple&amp;docID=1121184&amp;sessionID=1&amp;type=default&amp;name=01121184.txt&amp;q=%D7%91%D7%A8%22%D7%A9+4231%2f13&amp;title=%D7%91%D7%A8%D7%A9+4231%2f13+%D7%A9%D7%99+%D7%97%D7%99%D7%99%D7%9E%D7%95%D7%91%2c+%D7%A2%D7%95%22%D7%93+%D7%A0" \t "_blank</w:instrText>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tl/>
        </w:rPr>
        <w:fldChar w:fldCharType="separate"/>
      </w:r>
      <w:r w:rsidRPr="00EF17D2">
        <w:rPr>
          <w:rFonts w:ascii="Arial" w:eastAsia="Times New Roman" w:hAnsi="Arial" w:cs="David" w:hint="cs"/>
          <w:color w:val="706158"/>
          <w:sz w:val="24"/>
          <w:szCs w:val="24"/>
          <w:u w:val="single"/>
          <w:rtl/>
        </w:rPr>
        <w:t>בר"ש</w:t>
      </w:r>
      <w:proofErr w:type="spellEnd"/>
      <w:r w:rsidRPr="00EF17D2">
        <w:rPr>
          <w:rFonts w:ascii="Arial" w:eastAsia="Times New Roman" w:hAnsi="Arial" w:cs="David" w:hint="cs"/>
          <w:color w:val="706158"/>
          <w:sz w:val="24"/>
          <w:szCs w:val="24"/>
          <w:u w:val="single"/>
          <w:rtl/>
        </w:rPr>
        <w:t xml:space="preserve"> 4231/13 </w:t>
      </w:r>
      <w:proofErr w:type="spellStart"/>
      <w:r w:rsidRPr="00EF17D2">
        <w:rPr>
          <w:rFonts w:ascii="Arial" w:eastAsia="Times New Roman" w:hAnsi="Arial" w:cs="David" w:hint="cs"/>
          <w:b/>
          <w:bCs/>
          <w:color w:val="706158"/>
          <w:sz w:val="24"/>
          <w:szCs w:val="24"/>
          <w:u w:val="single"/>
          <w:rtl/>
        </w:rPr>
        <w:t>חיימוב</w:t>
      </w:r>
      <w:proofErr w:type="spellEnd"/>
      <w:r w:rsidRPr="00EF17D2">
        <w:rPr>
          <w:rFonts w:ascii="Arial" w:eastAsia="Times New Roman" w:hAnsi="Arial" w:cs="David" w:hint="cs"/>
          <w:b/>
          <w:bCs/>
          <w:color w:val="706158"/>
          <w:sz w:val="24"/>
          <w:szCs w:val="24"/>
          <w:u w:val="single"/>
          <w:rtl/>
        </w:rPr>
        <w:t xml:space="preserve"> נ' לשכת עורכי הדין ואח'</w:t>
      </w:r>
      <w:r w:rsidRPr="00EF17D2">
        <w:rPr>
          <w:rFonts w:ascii="Arial" w:eastAsia="Times New Roman" w:hAnsi="Arial" w:cs="David"/>
          <w:color w:val="000000"/>
          <w:sz w:val="24"/>
          <w:szCs w:val="24"/>
          <w:u w:val="single"/>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ב-6.8.2013)). הטעם להימנעות מהתערבות במקרה זה, מלבד הגישה המצמצמת בערכאה הרביעית היה, שעורך הדין סירב להסכים להשעיה של שלוש שנים. קשה לקבל טעם זה. חובת הפיקוח של בית המשפט העליון חלה לא רק על גובה העונש אלא גם על תקינות הליכי גזירת העונש. אם במקרים מובהקים בהם מוצא בית המשפט העליון שגגה יסודית הוא לא יאמר את דברו (ולא רק אמרת אגב) עלולה התקלה לחזור על עצמה, עד שיהיה קשה לשרשה מהיסוד.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במקרה שלישי, נדון עניינו של עורך דין שלא העביר ללקוחתו כספים שקיבלו עבורה. עורך הדין הודה בעבירה והודיע לבית הדין המחוזי שהוא הפקיד סכום זה בקופת בית הדין, ולפיכך נגזרו עליו 9 חודשי השעיה על תנאי. עד מהרה התברר שהסכום לא שולם ובערעור לבית הדין הארצי הוטלה על עורך הדין השעיה בפועל למשך 9 חודשים, השעיה על תנאי לתקופה דומה ופיצוי למתלוננת. במסגרת ערעור שהגיש עורך הדין לבית המשפט המחוזי בירושלים, הוא הפקיד את הסכום בקופת בית המשפט ולפיכך בית המשפט קיצר את השעייתו ל-63 יום מן הטעם של "סוף טוב הכל טוב". (</w:t>
      </w:r>
      <w:proofErr w:type="spellStart"/>
      <w:r w:rsidRPr="00EF17D2">
        <w:rPr>
          <w:rFonts w:ascii="Arial" w:eastAsia="Times New Roman" w:hAnsi="Arial" w:cs="David"/>
          <w:color w:val="000000"/>
          <w:sz w:val="24"/>
          <w:szCs w:val="24"/>
          <w:u w:val="single"/>
          <w:rtl/>
        </w:rPr>
        <w:fldChar w:fldCharType="begin"/>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Pr>
        <w:instrText>HYPERLINK "http://www.pador.co.il/etika/DocumentDisplay/ShowDocument.aspx?mode=simple&amp;docID=699050&amp;sessionID=1&amp;type=default&amp;name=00699050.txt&amp;q=%D7%A2%D7%9E%D7%9C%22%D7%A2+4519-01-11&amp;title=%D7%A2%D7%9E%D7%9C%D7%A2+4519-01-11+%D7%A2%D7%9C%D7%99+%D7%A2%D7%95%D7%AA%D7%9E%D7%90%D7%9F+%D7%A0" \t "_blank</w:instrText>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tl/>
        </w:rPr>
        <w:fldChar w:fldCharType="separate"/>
      </w:r>
      <w:r w:rsidRPr="00EF17D2">
        <w:rPr>
          <w:rFonts w:ascii="Arial" w:eastAsia="Times New Roman" w:hAnsi="Arial" w:cs="David" w:hint="cs"/>
          <w:color w:val="706158"/>
          <w:sz w:val="24"/>
          <w:szCs w:val="24"/>
          <w:u w:val="single"/>
          <w:rtl/>
        </w:rPr>
        <w:t>עמל"ע</w:t>
      </w:r>
      <w:proofErr w:type="spellEnd"/>
      <w:r w:rsidRPr="00EF17D2">
        <w:rPr>
          <w:rFonts w:ascii="Arial" w:eastAsia="Times New Roman" w:hAnsi="Arial" w:cs="David" w:hint="cs"/>
          <w:color w:val="706158"/>
          <w:sz w:val="24"/>
          <w:szCs w:val="24"/>
          <w:u w:val="single"/>
          <w:rtl/>
        </w:rPr>
        <w:t xml:space="preserve"> 4519-01-11 </w:t>
      </w:r>
      <w:r w:rsidRPr="00EF17D2">
        <w:rPr>
          <w:rFonts w:ascii="Arial" w:eastAsia="Times New Roman" w:hAnsi="Arial" w:cs="David" w:hint="cs"/>
          <w:b/>
          <w:bCs/>
          <w:color w:val="706158"/>
          <w:sz w:val="24"/>
          <w:szCs w:val="24"/>
          <w:u w:val="single"/>
          <w:rtl/>
        </w:rPr>
        <w:t>עותמאן נ' הועד המרכזי</w:t>
      </w:r>
      <w:r w:rsidRPr="00EF17D2">
        <w:rPr>
          <w:rFonts w:ascii="Arial" w:eastAsia="Times New Roman" w:hAnsi="Arial" w:cs="David"/>
          <w:color w:val="000000"/>
          <w:sz w:val="24"/>
          <w:szCs w:val="24"/>
          <w:u w:val="single"/>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ב- 3.3.2013)).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r w:rsidRPr="00EF17D2">
        <w:rPr>
          <w:rFonts w:ascii="Arial" w:eastAsia="Times New Roman" w:hAnsi="Arial" w:cs="David" w:hint="cs"/>
          <w:color w:val="000000"/>
          <w:sz w:val="24"/>
          <w:szCs w:val="24"/>
          <w:rtl/>
        </w:rPr>
        <w:t>בית המשפט העליון דחה בקשת ערעור שהגישה הלשכה, בקובעו כי אכן "המשיב מעל באמון שניתן בו" וכי "ראוי כי בתי הדין המשמעתיים ובתי המשפט יימנעו ממצב שבו החוטא יצא נשכר". הוא קבע שהעונש "מקל מדי" ושהפתרון שמצא בית המשפט לא איזן נכונה בין ההיבט הפרקטי להיבט הנורמטיבי. ואף על פי כן, על יסוד ההלכה המצמצמת כאמור, נמנע מלהתערב והותיר את פסק הדין "המקל מדי" על כנו. (</w:t>
      </w:r>
      <w:proofErr w:type="spellStart"/>
      <w:r w:rsidRPr="00EF17D2">
        <w:rPr>
          <w:rFonts w:ascii="Arial" w:eastAsia="Times New Roman" w:hAnsi="Arial" w:cs="David"/>
          <w:color w:val="000000"/>
          <w:sz w:val="24"/>
          <w:szCs w:val="24"/>
          <w:u w:val="single"/>
          <w:rtl/>
        </w:rPr>
        <w:fldChar w:fldCharType="begin"/>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Pr>
        <w:instrText>HYPERLINK "http://www.pador.co.il/etika/DocumentDisplay/ShowDocument.aspx?mode=simple&amp;docID=830053&amp;sessionID=1&amp;type=default&amp;name=00830053.txt&amp;q=%D7%91%D7%A8%22%D7%A9+2618%2f11&amp;title=%D7%91%D7%A8%D7%A9+2618%2f11+%D7%9C%D7%A9%D7%9B%D7%AA+%D7%A2%D7%95%D7%A8%D7%9B%D7%99+%D7%94%D7%93%D7%99%D7%9F+%D7%94%D7%95%D7%A2%D7%93+%D7%94%D7%9E%D7%A8%D7%9B%D7%96%D7%99+%D7%A0" \t "_blank</w:instrText>
      </w:r>
      <w:r w:rsidRPr="00EF17D2">
        <w:rPr>
          <w:rFonts w:ascii="Arial" w:eastAsia="Times New Roman" w:hAnsi="Arial" w:cs="David"/>
          <w:color w:val="000000"/>
          <w:sz w:val="24"/>
          <w:szCs w:val="24"/>
          <w:u w:val="single"/>
          <w:rtl/>
        </w:rPr>
        <w:instrText xml:space="preserve">" </w:instrText>
      </w:r>
      <w:r w:rsidRPr="00EF17D2">
        <w:rPr>
          <w:rFonts w:ascii="Arial" w:eastAsia="Times New Roman" w:hAnsi="Arial" w:cs="David"/>
          <w:color w:val="000000"/>
          <w:sz w:val="24"/>
          <w:szCs w:val="24"/>
          <w:u w:val="single"/>
          <w:rtl/>
        </w:rPr>
        <w:fldChar w:fldCharType="separate"/>
      </w:r>
      <w:r w:rsidRPr="00EF17D2">
        <w:rPr>
          <w:rFonts w:ascii="Arial" w:eastAsia="Times New Roman" w:hAnsi="Arial" w:cs="David" w:hint="cs"/>
          <w:color w:val="706158"/>
          <w:sz w:val="24"/>
          <w:szCs w:val="24"/>
          <w:u w:val="single"/>
          <w:rtl/>
        </w:rPr>
        <w:t>בר"ש</w:t>
      </w:r>
      <w:proofErr w:type="spellEnd"/>
      <w:r w:rsidRPr="00EF17D2">
        <w:rPr>
          <w:rFonts w:ascii="Arial" w:eastAsia="Times New Roman" w:hAnsi="Arial" w:cs="David" w:hint="cs"/>
          <w:color w:val="706158"/>
          <w:sz w:val="24"/>
          <w:szCs w:val="24"/>
          <w:u w:val="single"/>
          <w:rtl/>
        </w:rPr>
        <w:t xml:space="preserve"> 2618/11 </w:t>
      </w:r>
      <w:r w:rsidRPr="00EF17D2">
        <w:rPr>
          <w:rFonts w:ascii="Arial" w:eastAsia="Times New Roman" w:hAnsi="Arial" w:cs="David" w:hint="cs"/>
          <w:b/>
          <w:bCs/>
          <w:color w:val="706158"/>
          <w:sz w:val="24"/>
          <w:szCs w:val="24"/>
          <w:u w:val="single"/>
          <w:rtl/>
        </w:rPr>
        <w:t>הועד המרכזי נ' עותמאן</w:t>
      </w:r>
      <w:r w:rsidRPr="00EF17D2">
        <w:rPr>
          <w:rFonts w:ascii="Arial" w:eastAsia="Times New Roman" w:hAnsi="Arial" w:cs="David"/>
          <w:color w:val="000000"/>
          <w:sz w:val="24"/>
          <w:szCs w:val="24"/>
          <w:u w:val="single"/>
          <w:rtl/>
        </w:rPr>
        <w:fldChar w:fldCharType="end"/>
      </w:r>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ב- 10.8.2011)). </w:t>
      </w:r>
    </w:p>
    <w:p w:rsidR="00EF17D2" w:rsidRPr="00EF17D2" w:rsidRDefault="00EF17D2" w:rsidP="00EF17D2">
      <w:pPr>
        <w:shd w:val="clear" w:color="auto" w:fill="FFFFFF"/>
        <w:spacing w:after="0" w:line="240" w:lineRule="auto"/>
        <w:jc w:val="both"/>
        <w:rPr>
          <w:rFonts w:ascii="Arial" w:eastAsia="Times New Roman" w:hAnsi="Arial" w:cs="David"/>
          <w:color w:val="000000"/>
          <w:sz w:val="24"/>
          <w:szCs w:val="24"/>
          <w:rtl/>
        </w:rPr>
      </w:pPr>
    </w:p>
    <w:p w:rsidR="00EF17D2" w:rsidRPr="00EF17D2" w:rsidRDefault="00EF17D2" w:rsidP="00EF17D2">
      <w:pPr>
        <w:shd w:val="clear" w:color="auto" w:fill="FFFFFF"/>
        <w:spacing w:after="0" w:line="240" w:lineRule="auto"/>
        <w:jc w:val="both"/>
        <w:rPr>
          <w:rFonts w:ascii="Times New Roman" w:eastAsia="Times New Roman" w:hAnsi="Times New Roman" w:cs="David" w:hint="cs"/>
          <w:color w:val="000000"/>
          <w:sz w:val="24"/>
          <w:szCs w:val="24"/>
          <w:rtl/>
        </w:rPr>
      </w:pPr>
    </w:p>
    <w:p w:rsidR="00C82E0E" w:rsidRPr="00EF17D2" w:rsidRDefault="00EF17D2" w:rsidP="00EF17D2">
      <w:pPr>
        <w:shd w:val="clear" w:color="auto" w:fill="FFFFFF"/>
        <w:spacing w:after="0" w:line="240" w:lineRule="auto"/>
        <w:jc w:val="both"/>
        <w:rPr>
          <w:rFonts w:ascii="Times New Roman" w:eastAsia="Times New Roman" w:hAnsi="Times New Roman" w:cs="David"/>
          <w:color w:val="000000"/>
          <w:sz w:val="24"/>
          <w:szCs w:val="24"/>
        </w:rPr>
      </w:pPr>
      <w:r w:rsidRPr="00EF17D2">
        <w:rPr>
          <w:rFonts w:ascii="Arial" w:eastAsia="Times New Roman" w:hAnsi="Arial" w:cs="David" w:hint="cs"/>
          <w:color w:val="000000"/>
          <w:sz w:val="24"/>
          <w:szCs w:val="24"/>
          <w:rtl/>
        </w:rPr>
        <w:t xml:space="preserve">הנה, בשלושה מקרים (וניתן למנות נוספים: </w:t>
      </w:r>
      <w:hyperlink r:id="rId6" w:tgtFrame="_blank" w:history="1">
        <w:proofErr w:type="spellStart"/>
        <w:r w:rsidRPr="00EF17D2">
          <w:rPr>
            <w:rFonts w:ascii="Arial" w:eastAsia="Times New Roman" w:hAnsi="Arial" w:cs="David" w:hint="cs"/>
            <w:color w:val="706158"/>
            <w:sz w:val="24"/>
            <w:szCs w:val="24"/>
            <w:u w:val="single"/>
            <w:rtl/>
          </w:rPr>
          <w:t>בר"ש</w:t>
        </w:r>
        <w:proofErr w:type="spellEnd"/>
        <w:r w:rsidRPr="00EF17D2">
          <w:rPr>
            <w:rFonts w:ascii="Arial" w:eastAsia="Times New Roman" w:hAnsi="Arial" w:cs="David" w:hint="cs"/>
            <w:color w:val="706158"/>
            <w:sz w:val="24"/>
            <w:szCs w:val="24"/>
            <w:u w:val="single"/>
            <w:rtl/>
          </w:rPr>
          <w:t xml:space="preserve"> 1470/11 </w:t>
        </w:r>
        <w:r w:rsidRPr="00EF17D2">
          <w:rPr>
            <w:rFonts w:ascii="Arial" w:eastAsia="Times New Roman" w:hAnsi="Arial" w:cs="David" w:hint="cs"/>
            <w:b/>
            <w:bCs/>
            <w:color w:val="706158"/>
            <w:sz w:val="24"/>
            <w:szCs w:val="24"/>
            <w:u w:val="single"/>
            <w:rtl/>
          </w:rPr>
          <w:t>מאור נ' הועד המחוזי</w:t>
        </w:r>
      </w:hyperlink>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ב- 10.3.2011); </w:t>
      </w:r>
      <w:hyperlink r:id="rId7" w:tgtFrame="_blank" w:history="1">
        <w:proofErr w:type="spellStart"/>
        <w:r w:rsidRPr="00EF17D2">
          <w:rPr>
            <w:rFonts w:ascii="Arial" w:eastAsia="Times New Roman" w:hAnsi="Arial" w:cs="David" w:hint="cs"/>
            <w:color w:val="706158"/>
            <w:sz w:val="24"/>
            <w:szCs w:val="24"/>
            <w:u w:val="single"/>
            <w:rtl/>
          </w:rPr>
          <w:t>בר"ש</w:t>
        </w:r>
        <w:proofErr w:type="spellEnd"/>
        <w:r w:rsidRPr="00EF17D2">
          <w:rPr>
            <w:rFonts w:ascii="Arial" w:eastAsia="Times New Roman" w:hAnsi="Arial" w:cs="David" w:hint="cs"/>
            <w:color w:val="706158"/>
            <w:sz w:val="24"/>
            <w:szCs w:val="24"/>
            <w:u w:val="single"/>
            <w:rtl/>
          </w:rPr>
          <w:t xml:space="preserve"> 1353/12 </w:t>
        </w:r>
        <w:r w:rsidRPr="00EF17D2">
          <w:rPr>
            <w:rFonts w:ascii="Arial" w:eastAsia="Times New Roman" w:hAnsi="Arial" w:cs="David" w:hint="cs"/>
            <w:b/>
            <w:bCs/>
            <w:color w:val="706158"/>
            <w:sz w:val="24"/>
            <w:szCs w:val="24"/>
            <w:u w:val="single"/>
            <w:rtl/>
          </w:rPr>
          <w:t>ועדת האתיקה נ' בניטה</w:t>
        </w:r>
      </w:hyperlink>
      <w:r w:rsidRPr="00EF17D2">
        <w:rPr>
          <w:rFonts w:ascii="Arial" w:eastAsia="Times New Roman" w:hAnsi="Arial" w:cs="David" w:hint="cs"/>
          <w:color w:val="000000"/>
          <w:sz w:val="24"/>
          <w:szCs w:val="24"/>
          <w:rtl/>
        </w:rPr>
        <w:t xml:space="preserve">, </w:t>
      </w:r>
      <w:proofErr w:type="spellStart"/>
      <w:r w:rsidRPr="00EF17D2">
        <w:rPr>
          <w:rFonts w:ascii="Arial" w:eastAsia="Times New Roman" w:hAnsi="Arial" w:cs="David" w:hint="cs"/>
          <w:color w:val="000000"/>
          <w:sz w:val="24"/>
          <w:szCs w:val="24"/>
          <w:rtl/>
        </w:rPr>
        <w:t>פדאור</w:t>
      </w:r>
      <w:proofErr w:type="spellEnd"/>
      <w:r w:rsidRPr="00EF17D2">
        <w:rPr>
          <w:rFonts w:ascii="Arial" w:eastAsia="Times New Roman" w:hAnsi="Arial" w:cs="David" w:hint="cs"/>
          <w:color w:val="000000"/>
          <w:sz w:val="24"/>
          <w:szCs w:val="24"/>
          <w:rtl/>
        </w:rPr>
        <w:t xml:space="preserve"> אתיקה (ניתן ב- 12.3.2013)) בהם חרג בית המשפט המחוזי מההלכה הפסוקה וירד לזירת התווית הנורמות האתיות, ובית המשפט העליון מצא (בהערות אגב) שמדובר בשגגה ממשית – נמנע בית המשפט העליון מהתערבות. הפסיקה השגויה של בית המשפט המחוזי </w:t>
      </w:r>
      <w:proofErr w:type="spellStart"/>
      <w:r w:rsidRPr="00EF17D2">
        <w:rPr>
          <w:rFonts w:ascii="Arial" w:eastAsia="Times New Roman" w:hAnsi="Arial" w:cs="David" w:hint="cs"/>
          <w:color w:val="000000"/>
          <w:sz w:val="24"/>
          <w:szCs w:val="24"/>
          <w:rtl/>
        </w:rPr>
        <w:t>כערכאת</w:t>
      </w:r>
      <w:proofErr w:type="spellEnd"/>
      <w:r w:rsidRPr="00EF17D2">
        <w:rPr>
          <w:rFonts w:ascii="Arial" w:eastAsia="Times New Roman" w:hAnsi="Arial" w:cs="David" w:hint="cs"/>
          <w:color w:val="000000"/>
          <w:sz w:val="24"/>
          <w:szCs w:val="24"/>
          <w:rtl/>
        </w:rPr>
        <w:t xml:space="preserve"> ערעור </w:t>
      </w:r>
      <w:proofErr w:type="spellStart"/>
      <w:r w:rsidRPr="00EF17D2">
        <w:rPr>
          <w:rFonts w:ascii="Arial" w:eastAsia="Times New Roman" w:hAnsi="Arial" w:cs="David" w:hint="cs"/>
          <w:color w:val="000000"/>
          <w:sz w:val="24"/>
          <w:szCs w:val="24"/>
          <w:rtl/>
        </w:rPr>
        <w:t>שניה</w:t>
      </w:r>
      <w:proofErr w:type="spellEnd"/>
      <w:r w:rsidRPr="00EF17D2">
        <w:rPr>
          <w:rFonts w:ascii="Arial" w:eastAsia="Times New Roman" w:hAnsi="Arial" w:cs="David" w:hint="cs"/>
          <w:color w:val="000000"/>
          <w:sz w:val="24"/>
          <w:szCs w:val="24"/>
          <w:rtl/>
        </w:rPr>
        <w:t xml:space="preserve"> נותרה על כנה, ובית המשפט העליון החמיץ את ההזדמנות להנחות את אופי פעולתו של בית המשפט המחוזי כערכאה מפקחת ומבקרת את הליכי המשמעת. כך נפגעה וודאות הדין ונפגעה ההלכה הפסוקה לפיה גדרי המותר והאסור נקבעים בבתי הדין המשמעתיים.</w:t>
      </w:r>
    </w:p>
    <w:sectPr w:rsidR="00C82E0E" w:rsidRPr="00EF17D2" w:rsidSect="00A64B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17D2"/>
    <w:rsid w:val="00A64BD2"/>
    <w:rsid w:val="00C82E0E"/>
    <w:rsid w:val="00E57523"/>
    <w:rsid w:val="00EC1A5B"/>
    <w:rsid w:val="00EF17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F17D2"/>
    <w:rPr>
      <w:strike w:val="0"/>
      <w:dstrike w:val="0"/>
      <w:color w:val="706158"/>
      <w:u w:val="none"/>
      <w:effect w:val="none"/>
    </w:rPr>
  </w:style>
  <w:style w:type="character" w:styleId="a3">
    <w:name w:val="Strong"/>
    <w:basedOn w:val="a0"/>
    <w:uiPriority w:val="22"/>
    <w:qFormat/>
    <w:rsid w:val="00EF17D2"/>
    <w:rPr>
      <w:b/>
      <w:bCs/>
    </w:rPr>
  </w:style>
</w:styles>
</file>

<file path=word/webSettings.xml><?xml version="1.0" encoding="utf-8"?>
<w:webSettings xmlns:r="http://schemas.openxmlformats.org/officeDocument/2006/relationships" xmlns:w="http://schemas.openxmlformats.org/wordprocessingml/2006/main">
  <w:divs>
    <w:div w:id="938173335">
      <w:bodyDiv w:val="1"/>
      <w:marLeft w:val="0"/>
      <w:marRight w:val="0"/>
      <w:marTop w:val="0"/>
      <w:marBottom w:val="0"/>
      <w:divBdr>
        <w:top w:val="none" w:sz="0" w:space="0" w:color="auto"/>
        <w:left w:val="none" w:sz="0" w:space="0" w:color="auto"/>
        <w:bottom w:val="none" w:sz="0" w:space="0" w:color="auto"/>
        <w:right w:val="none" w:sz="0" w:space="0" w:color="auto"/>
      </w:divBdr>
      <w:divsChild>
        <w:div w:id="188221559">
          <w:marLeft w:val="0"/>
          <w:marRight w:val="0"/>
          <w:marTop w:val="0"/>
          <w:marBottom w:val="0"/>
          <w:divBdr>
            <w:top w:val="none" w:sz="0" w:space="0" w:color="auto"/>
            <w:left w:val="none" w:sz="0" w:space="0" w:color="auto"/>
            <w:bottom w:val="none" w:sz="0" w:space="0" w:color="auto"/>
            <w:right w:val="none" w:sz="0" w:space="0" w:color="auto"/>
          </w:divBdr>
          <w:divsChild>
            <w:div w:id="2001077318">
              <w:marLeft w:val="0"/>
              <w:marRight w:val="0"/>
              <w:marTop w:val="0"/>
              <w:marBottom w:val="0"/>
              <w:divBdr>
                <w:top w:val="none" w:sz="0" w:space="0" w:color="auto"/>
                <w:left w:val="none" w:sz="0" w:space="0" w:color="auto"/>
                <w:bottom w:val="none" w:sz="0" w:space="0" w:color="auto"/>
                <w:right w:val="none" w:sz="0" w:space="0" w:color="auto"/>
              </w:divBdr>
              <w:divsChild>
                <w:div w:id="156920692">
                  <w:marLeft w:val="0"/>
                  <w:marRight w:val="0"/>
                  <w:marTop w:val="0"/>
                  <w:marBottom w:val="0"/>
                  <w:divBdr>
                    <w:top w:val="none" w:sz="0" w:space="0" w:color="auto"/>
                    <w:left w:val="none" w:sz="0" w:space="0" w:color="auto"/>
                    <w:bottom w:val="none" w:sz="0" w:space="0" w:color="auto"/>
                    <w:right w:val="none" w:sz="0" w:space="0" w:color="auto"/>
                  </w:divBdr>
                  <w:divsChild>
                    <w:div w:id="151141654">
                      <w:marLeft w:val="0"/>
                      <w:marRight w:val="0"/>
                      <w:marTop w:val="0"/>
                      <w:marBottom w:val="0"/>
                      <w:divBdr>
                        <w:top w:val="none" w:sz="0" w:space="0" w:color="auto"/>
                        <w:left w:val="none" w:sz="0" w:space="0" w:color="auto"/>
                        <w:bottom w:val="none" w:sz="0" w:space="0" w:color="auto"/>
                        <w:right w:val="none" w:sz="0" w:space="0" w:color="auto"/>
                      </w:divBdr>
                      <w:divsChild>
                        <w:div w:id="592326593">
                          <w:marLeft w:val="0"/>
                          <w:marRight w:val="105"/>
                          <w:marTop w:val="0"/>
                          <w:marBottom w:val="0"/>
                          <w:divBdr>
                            <w:top w:val="none" w:sz="0" w:space="0" w:color="auto"/>
                            <w:left w:val="none" w:sz="0" w:space="0" w:color="auto"/>
                            <w:bottom w:val="none" w:sz="0" w:space="0" w:color="auto"/>
                            <w:right w:val="none" w:sz="0" w:space="0" w:color="auto"/>
                          </w:divBdr>
                          <w:divsChild>
                            <w:div w:id="176581844">
                              <w:marLeft w:val="0"/>
                              <w:marRight w:val="0"/>
                              <w:marTop w:val="0"/>
                              <w:marBottom w:val="0"/>
                              <w:divBdr>
                                <w:top w:val="none" w:sz="0" w:space="0" w:color="auto"/>
                                <w:left w:val="none" w:sz="0" w:space="0" w:color="auto"/>
                                <w:bottom w:val="none" w:sz="0" w:space="0" w:color="auto"/>
                                <w:right w:val="none" w:sz="0" w:space="0" w:color="auto"/>
                              </w:divBdr>
                              <w:divsChild>
                                <w:div w:id="2015574614">
                                  <w:marLeft w:val="0"/>
                                  <w:marRight w:val="300"/>
                                  <w:marTop w:val="0"/>
                                  <w:marBottom w:val="0"/>
                                  <w:divBdr>
                                    <w:top w:val="none" w:sz="0" w:space="0" w:color="auto"/>
                                    <w:left w:val="none" w:sz="0" w:space="0" w:color="auto"/>
                                    <w:bottom w:val="none" w:sz="0" w:space="0" w:color="auto"/>
                                    <w:right w:val="none" w:sz="0" w:space="0" w:color="auto"/>
                                  </w:divBdr>
                                  <w:divsChild>
                                    <w:div w:id="463281841">
                                      <w:marLeft w:val="0"/>
                                      <w:marRight w:val="0"/>
                                      <w:marTop w:val="0"/>
                                      <w:marBottom w:val="0"/>
                                      <w:divBdr>
                                        <w:top w:val="none" w:sz="0" w:space="0" w:color="auto"/>
                                        <w:left w:val="none" w:sz="0" w:space="0" w:color="auto"/>
                                        <w:bottom w:val="none" w:sz="0" w:space="0" w:color="auto"/>
                                        <w:right w:val="none" w:sz="0" w:space="0" w:color="auto"/>
                                      </w:divBdr>
                                      <w:divsChild>
                                        <w:div w:id="14397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dor.co.il/etika/DocumentDisplay/ShowDocument.aspx?mode=simple&amp;docID=919391&amp;sessionID=1&amp;type=default&amp;name=00919391.txt&amp;q=%D7%91%D7%A8%22%D7%A9+1353%2f12&amp;title=%D7%91%D7%A8%D7%A9+1353%2f12+%D7%95%D7%A2%D7%93%D7%AA+%D7%90%D7%AA%D7%99%D7%A7%D7%94+%D7%A9%D7%9C%D7%99%D7%93+%D7%95%D7%A2%D7%93+%D7%9E%D7%97%D7%95%D7%96+%D7%93%D7%A8%D7%95%D7%9D+%D7%A9%D7%9C+%D7%9C%D7%A9%D7%9B%D7%AA+%D7%A2%D7%95%D7%A8%D7%9B%D7%99+%D7%94%D7%93%D7%99%D7%9F+%D7%A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dor.co.il/etika/DocumentDisplay/ShowDocument.aspx?mode=simple&amp;docID=706887&amp;sessionID=1&amp;type=default&amp;name=00706887.txt&amp;q=%D7%91%D7%A8%22%D7%A9+1470%2f11&amp;title=%D7%91%D7%A8%D7%A9+1470%2f11+%D7%90%D7%9C%D7%99%D7%94%D7%95+%D7%9E%D7%90%D7%95%D7%A8+%D7%A0" TargetMode="External"/><Relationship Id="rId11" Type="http://schemas.openxmlformats.org/officeDocument/2006/relationships/customXml" Target="../customXml/item2.xml"/><Relationship Id="rId5" Type="http://schemas.openxmlformats.org/officeDocument/2006/relationships/hyperlink" Target="http://www.pador.co.il/etika/DocumentDisplay/ShowDocument.aspx?mode=simple&amp;docID=468859&amp;sessionID=1&amp;type=default&amp;name=00468859.txt&amp;q=%D7%A2%D7%9C%22%D7%A2+1958%2f09+%D7%A2%D7%95%22%D7%93+%D7%91%D7%A8%D7%99+%D7%A0" TargetMode="External"/><Relationship Id="rId10" Type="http://schemas.openxmlformats.org/officeDocument/2006/relationships/customXml" Target="../customXml/item1.xml"/><Relationship Id="rId4" Type="http://schemas.openxmlformats.org/officeDocument/2006/relationships/hyperlink" Target="http://www.pador.co.il/etika/DocumentDisplay/ShowDocument.aspx?mode=simple&amp;docID=23688&amp;sessionID=1&amp;type=default&amp;name=00023688.txt&amp;q=%D7%A2%D7%9C%22%D7%A2+9%2f89&amp;title="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06CC5719EB3D945B1DFE43AF31994DE" ma:contentTypeVersion="1" ma:contentTypeDescription="צור מסמך חדש." ma:contentTypeScope="" ma:versionID="cd34d4daf0f6d4ead18655b39aba902e">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FA0ADA-03E2-4C0E-A481-E0A68E3B2ED7}"/>
</file>

<file path=customXml/itemProps2.xml><?xml version="1.0" encoding="utf-8"?>
<ds:datastoreItem xmlns:ds="http://schemas.openxmlformats.org/officeDocument/2006/customXml" ds:itemID="{AA82824C-A168-4D94-BC5A-48722A5D64F1}"/>
</file>

<file path=customXml/itemProps3.xml><?xml version="1.0" encoding="utf-8"?>
<ds:datastoreItem xmlns:ds="http://schemas.openxmlformats.org/officeDocument/2006/customXml" ds:itemID="{84ACBE9F-C9EB-4BAB-8E29-5901B610F273}"/>
</file>

<file path=docProps/app.xml><?xml version="1.0" encoding="utf-8"?>
<Properties xmlns="http://schemas.openxmlformats.org/officeDocument/2006/extended-properties" xmlns:vt="http://schemas.openxmlformats.org/officeDocument/2006/docPropsVTypes">
  <Template>Normal</Template>
  <TotalTime>10</TotalTime>
  <Pages>2</Pages>
  <Words>1327</Words>
  <Characters>6639</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cp:revision>
  <dcterms:created xsi:type="dcterms:W3CDTF">2014-08-27T11:30:00Z</dcterms:created>
  <dcterms:modified xsi:type="dcterms:W3CDTF">2014-08-27T11:40:00Z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0x010100E06CC5719EB3D945B1DFE43AF31994DE</vt:lpwstr>
  </property>
</Properties>
</file>