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2F" w:rsidRDefault="0030632F" w:rsidP="0030632F">
      <w:pPr>
        <w:shd w:val="clear" w:color="auto" w:fill="FFFFFF"/>
        <w:spacing w:after="0" w:line="360" w:lineRule="auto"/>
        <w:jc w:val="both"/>
        <w:rPr>
          <w:rFonts w:ascii="Arial" w:eastAsia="Times New Roman" w:hAnsi="Arial" w:cs="David" w:hint="cs"/>
          <w:color w:val="000000"/>
          <w:sz w:val="24"/>
          <w:szCs w:val="24"/>
          <w:u w:val="single"/>
          <w:rtl/>
        </w:rPr>
      </w:pPr>
      <w:r w:rsidRPr="0030632F">
        <w:rPr>
          <w:rFonts w:cs="David" w:hint="cs"/>
          <w:color w:val="4F81BD"/>
          <w:sz w:val="32"/>
          <w:szCs w:val="32"/>
          <w:rtl/>
        </w:rPr>
        <w:t>נייר</w:t>
      </w:r>
      <w:r w:rsidRPr="0030632F">
        <w:rPr>
          <w:rFonts w:cs="David"/>
          <w:color w:val="4F81BD"/>
          <w:sz w:val="32"/>
          <w:szCs w:val="32"/>
          <w:rtl/>
        </w:rPr>
        <w:t xml:space="preserve"> </w:t>
      </w:r>
      <w:r w:rsidRPr="0030632F">
        <w:rPr>
          <w:rFonts w:cs="David" w:hint="cs"/>
          <w:color w:val="4F81BD"/>
          <w:sz w:val="32"/>
          <w:szCs w:val="32"/>
          <w:rtl/>
        </w:rPr>
        <w:t>המכתבים</w:t>
      </w:r>
      <w:r w:rsidRPr="0030632F">
        <w:rPr>
          <w:rFonts w:cs="David"/>
          <w:color w:val="4F81BD"/>
          <w:sz w:val="32"/>
          <w:szCs w:val="32"/>
          <w:rtl/>
        </w:rPr>
        <w:t xml:space="preserve">, </w:t>
      </w:r>
      <w:r w:rsidRPr="0030632F">
        <w:rPr>
          <w:rFonts w:cs="David" w:hint="cs"/>
          <w:color w:val="4F81BD"/>
          <w:sz w:val="32"/>
          <w:szCs w:val="32"/>
          <w:rtl/>
        </w:rPr>
        <w:t>כרטיס</w:t>
      </w:r>
      <w:r w:rsidRPr="0030632F">
        <w:rPr>
          <w:rFonts w:cs="David"/>
          <w:color w:val="4F81BD"/>
          <w:sz w:val="32"/>
          <w:szCs w:val="32"/>
          <w:rtl/>
        </w:rPr>
        <w:t xml:space="preserve"> </w:t>
      </w:r>
      <w:r w:rsidRPr="0030632F">
        <w:rPr>
          <w:rFonts w:cs="David" w:hint="cs"/>
          <w:color w:val="4F81BD"/>
          <w:sz w:val="32"/>
          <w:szCs w:val="32"/>
          <w:rtl/>
        </w:rPr>
        <w:t>הביקור</w:t>
      </w:r>
      <w:r w:rsidRPr="0030632F">
        <w:rPr>
          <w:rFonts w:cs="David"/>
          <w:color w:val="4F81BD"/>
          <w:sz w:val="32"/>
          <w:szCs w:val="32"/>
          <w:rtl/>
        </w:rPr>
        <w:t xml:space="preserve"> </w:t>
      </w:r>
      <w:r w:rsidRPr="0030632F">
        <w:rPr>
          <w:rFonts w:cs="David" w:hint="cs"/>
          <w:color w:val="4F81BD"/>
          <w:sz w:val="32"/>
          <w:szCs w:val="32"/>
          <w:rtl/>
        </w:rPr>
        <w:t>ושלט</w:t>
      </w:r>
      <w:r w:rsidRPr="0030632F">
        <w:rPr>
          <w:rFonts w:cs="David"/>
          <w:color w:val="4F81BD"/>
          <w:sz w:val="32"/>
          <w:szCs w:val="32"/>
          <w:rtl/>
        </w:rPr>
        <w:t xml:space="preserve"> </w:t>
      </w:r>
      <w:r w:rsidRPr="0030632F">
        <w:rPr>
          <w:rFonts w:cs="David" w:hint="cs"/>
          <w:color w:val="4F81BD"/>
          <w:sz w:val="32"/>
          <w:szCs w:val="32"/>
          <w:rtl/>
        </w:rPr>
        <w:t>המשרד</w:t>
      </w:r>
    </w:p>
    <w:p w:rsidR="00FF51AF" w:rsidRDefault="00FF51AF" w:rsidP="00FF51AF">
      <w:pPr>
        <w:shd w:val="clear" w:color="auto" w:fill="FFFFFF"/>
        <w:spacing w:after="0" w:line="360" w:lineRule="auto"/>
        <w:jc w:val="both"/>
        <w:rPr>
          <w:rFonts w:cs="David" w:hint="cs"/>
          <w:b/>
          <w:bCs/>
          <w:sz w:val="28"/>
          <w:szCs w:val="28"/>
          <w:rtl/>
        </w:rPr>
      </w:pPr>
      <w:r w:rsidRPr="00FF51AF">
        <w:rPr>
          <w:rFonts w:cs="David" w:hint="cs"/>
          <w:b/>
          <w:bCs/>
          <w:sz w:val="28"/>
          <w:szCs w:val="28"/>
          <w:rtl/>
        </w:rPr>
        <w:t>דר</w:t>
      </w:r>
      <w:r>
        <w:rPr>
          <w:rFonts w:cs="David" w:hint="cs"/>
          <w:b/>
          <w:bCs/>
          <w:sz w:val="28"/>
          <w:szCs w:val="28"/>
          <w:rtl/>
        </w:rPr>
        <w:t>'</w:t>
      </w:r>
      <w:r w:rsidRPr="00FF51AF">
        <w:rPr>
          <w:rFonts w:cs="David"/>
          <w:b/>
          <w:bCs/>
          <w:sz w:val="28"/>
          <w:szCs w:val="28"/>
          <w:rtl/>
        </w:rPr>
        <w:t xml:space="preserve"> </w:t>
      </w:r>
      <w:r w:rsidRPr="00FF51AF">
        <w:rPr>
          <w:rFonts w:cs="David" w:hint="cs"/>
          <w:b/>
          <w:bCs/>
          <w:sz w:val="28"/>
          <w:szCs w:val="28"/>
          <w:rtl/>
        </w:rPr>
        <w:t>לימור</w:t>
      </w:r>
      <w:r w:rsidRPr="00FF51AF">
        <w:rPr>
          <w:rFonts w:cs="David"/>
          <w:b/>
          <w:bCs/>
          <w:sz w:val="28"/>
          <w:szCs w:val="28"/>
          <w:rtl/>
        </w:rPr>
        <w:t xml:space="preserve"> </w:t>
      </w:r>
      <w:r w:rsidRPr="00FF51AF">
        <w:rPr>
          <w:rFonts w:cs="David" w:hint="cs"/>
          <w:b/>
          <w:bCs/>
          <w:sz w:val="28"/>
          <w:szCs w:val="28"/>
          <w:rtl/>
        </w:rPr>
        <w:t>זר</w:t>
      </w:r>
      <w:r w:rsidRPr="00FF51AF">
        <w:rPr>
          <w:rFonts w:cs="David"/>
          <w:b/>
          <w:bCs/>
          <w:sz w:val="28"/>
          <w:szCs w:val="28"/>
          <w:rtl/>
        </w:rPr>
        <w:t>-</w:t>
      </w:r>
      <w:r w:rsidRPr="00FF51AF">
        <w:rPr>
          <w:rFonts w:cs="David" w:hint="cs"/>
          <w:b/>
          <w:bCs/>
          <w:sz w:val="28"/>
          <w:szCs w:val="28"/>
          <w:rtl/>
        </w:rPr>
        <w:t>גוטמן</w:t>
      </w:r>
      <w:r w:rsidRPr="00FF51AF">
        <w:rPr>
          <w:rFonts w:cs="David"/>
          <w:b/>
          <w:bCs/>
          <w:sz w:val="28"/>
          <w:szCs w:val="28"/>
          <w:rtl/>
        </w:rPr>
        <w:t xml:space="preserve">, </w:t>
      </w:r>
      <w:r w:rsidRPr="00FF51AF">
        <w:rPr>
          <w:rFonts w:cs="David" w:hint="cs"/>
          <w:b/>
          <w:bCs/>
          <w:sz w:val="28"/>
          <w:szCs w:val="28"/>
          <w:rtl/>
        </w:rPr>
        <w:t>עו</w:t>
      </w:r>
      <w:r w:rsidRPr="00FF51AF">
        <w:rPr>
          <w:rFonts w:cs="David"/>
          <w:b/>
          <w:bCs/>
          <w:sz w:val="28"/>
          <w:szCs w:val="28"/>
          <w:rtl/>
        </w:rPr>
        <w:t>"</w:t>
      </w:r>
      <w:r w:rsidRPr="00FF51AF">
        <w:rPr>
          <w:rFonts w:cs="David" w:hint="cs"/>
          <w:b/>
          <w:bCs/>
          <w:sz w:val="28"/>
          <w:szCs w:val="28"/>
          <w:rtl/>
        </w:rPr>
        <w:t>ד</w:t>
      </w:r>
      <w:r w:rsidRPr="00FF51AF">
        <w:rPr>
          <w:rFonts w:cs="David"/>
          <w:b/>
          <w:bCs/>
          <w:sz w:val="28"/>
          <w:szCs w:val="28"/>
          <w:rtl/>
        </w:rPr>
        <w:t>/</w:t>
      </w:r>
      <w:r w:rsidRPr="00FF51AF">
        <w:rPr>
          <w:rFonts w:cs="David" w:hint="cs"/>
          <w:b/>
          <w:bCs/>
          <w:sz w:val="28"/>
          <w:szCs w:val="28"/>
          <w:rtl/>
        </w:rPr>
        <w:t>עורכת</w:t>
      </w:r>
    </w:p>
    <w:p w:rsidR="00FF51AF" w:rsidRPr="00FF51AF" w:rsidRDefault="00FF51AF" w:rsidP="00FF51AF">
      <w:pPr>
        <w:shd w:val="clear" w:color="auto" w:fill="FFFFFF"/>
        <w:spacing w:after="0" w:line="360" w:lineRule="auto"/>
        <w:jc w:val="both"/>
        <w:rPr>
          <w:rFonts w:cs="David" w:hint="cs"/>
          <w:b/>
          <w:bCs/>
          <w:sz w:val="28"/>
          <w:szCs w:val="28"/>
          <w:rtl/>
        </w:rPr>
      </w:pPr>
    </w:p>
    <w:p w:rsidR="0030632F" w:rsidRPr="0030632F" w:rsidRDefault="0030632F" w:rsidP="0030632F">
      <w:pPr>
        <w:shd w:val="clear" w:color="auto" w:fill="FFFFFF"/>
        <w:spacing w:after="0" w:line="360" w:lineRule="auto"/>
        <w:jc w:val="both"/>
        <w:rPr>
          <w:rFonts w:ascii="Arial" w:eastAsia="Times New Roman" w:hAnsi="Arial" w:cs="David"/>
          <w:color w:val="000000"/>
          <w:sz w:val="24"/>
          <w:szCs w:val="24"/>
        </w:rPr>
      </w:pPr>
      <w:hyperlink r:id="rId4" w:tgtFrame="_blank" w:history="1">
        <w:r w:rsidRPr="0030632F">
          <w:rPr>
            <w:rFonts w:ascii="Arial" w:eastAsia="Times New Roman" w:hAnsi="Arial" w:cs="David" w:hint="cs"/>
            <w:b/>
            <w:bCs/>
            <w:color w:val="706158"/>
            <w:sz w:val="24"/>
            <w:szCs w:val="24"/>
            <w:u w:val="single"/>
            <w:rtl/>
          </w:rPr>
          <w:t>כללי לשכת עורכי הדין (פרסומת)</w:t>
        </w:r>
      </w:hyperlink>
      <w:r w:rsidRPr="0030632F">
        <w:rPr>
          <w:rFonts w:ascii="Arial" w:eastAsia="Times New Roman" w:hAnsi="Arial" w:cs="David" w:hint="cs"/>
          <w:color w:val="000000"/>
          <w:sz w:val="24"/>
          <w:szCs w:val="24"/>
          <w:rtl/>
        </w:rPr>
        <w:t xml:space="preserve"> מונים בכלל 3(א)(6) את שלט המשרד, נייר המכתבים וכל נייר אחר היוצא מהמשרד ובכלל זה כרטיס הביקור, כאמצעי פרסומת מותר. הקביעה לפיה שלוש אלו מהווים פרסומת עורכי דין משמעה שחלות שורה של מגבלות באשר למה שניתן לכלול בהם ובכך תעסוק רשימה זו. תחילה יש להבין את הרציונאל העומד מאחורי המגבלות המפורטות בכללי הפרסומת עצמם ובשורה של החלטות הוועדה לענייני פרסומת אשר עסקה לא אחת בשלוש אלו (להלן: </w:t>
      </w:r>
      <w:r w:rsidRPr="0030632F">
        <w:rPr>
          <w:rFonts w:ascii="Arial" w:eastAsia="Times New Roman" w:hAnsi="Arial" w:cs="David" w:hint="cs"/>
          <w:b/>
          <w:bCs/>
          <w:color w:val="000000"/>
          <w:sz w:val="24"/>
          <w:szCs w:val="24"/>
          <w:rtl/>
        </w:rPr>
        <w:t>החלטת הוועדה</w:t>
      </w:r>
      <w:r w:rsidRPr="0030632F">
        <w:rPr>
          <w:rFonts w:ascii="Arial" w:eastAsia="Times New Roman" w:hAnsi="Arial" w:cs="David" w:hint="cs"/>
          <w:color w:val="000000"/>
          <w:sz w:val="24"/>
          <w:szCs w:val="24"/>
          <w:rtl/>
        </w:rPr>
        <w:t xml:space="preserve">). הרציונל להגבלות על פרסומת עורכי דין קבוע בסעיף 55 לחוק הלשכה לפיו אסור שפרסומת עורכי דין תטעה את הציבור או שתפגע בכבוד המקצוע. ולכן, קבע כלל 3(ב) לכללי הפרסומת שורה של פרטים שמותר לציין בפרסומת עורכי דין בעוד שכל פרט שלא צוין ברשימה זו – אסור. זאת במטרה לקבוע מראש את פרטי המידע שאין בהם להטעות את הציבור ו/או לפגוע בכבוד המקצוע. </w:t>
      </w:r>
    </w:p>
    <w:p w:rsidR="0030632F" w:rsidRPr="0030632F" w:rsidRDefault="0030632F" w:rsidP="0030632F">
      <w:pPr>
        <w:shd w:val="clear" w:color="auto" w:fill="FFFFFF"/>
        <w:spacing w:after="0" w:line="360" w:lineRule="auto"/>
        <w:jc w:val="both"/>
        <w:rPr>
          <w:rFonts w:ascii="Times New Roman" w:eastAsia="Times New Roman" w:hAnsi="Times New Roman" w:cs="David" w:hint="cs"/>
          <w:color w:val="000000"/>
          <w:sz w:val="24"/>
          <w:szCs w:val="24"/>
          <w:rtl/>
        </w:rPr>
      </w:pPr>
    </w:p>
    <w:p w:rsidR="0030632F" w:rsidRPr="0030632F" w:rsidRDefault="0030632F" w:rsidP="0030632F">
      <w:pPr>
        <w:shd w:val="clear" w:color="auto" w:fill="FFFFFF"/>
        <w:spacing w:after="0" w:line="360" w:lineRule="auto"/>
        <w:jc w:val="both"/>
        <w:rPr>
          <w:rFonts w:ascii="Arial" w:eastAsia="Times New Roman" w:hAnsi="Arial" w:cs="David" w:hint="cs"/>
          <w:color w:val="000000"/>
          <w:sz w:val="24"/>
          <w:szCs w:val="24"/>
          <w:rtl/>
        </w:rPr>
      </w:pPr>
      <w:r w:rsidRPr="0030632F">
        <w:rPr>
          <w:rFonts w:ascii="Arial" w:eastAsia="Times New Roman" w:hAnsi="Arial" w:cs="David" w:hint="cs"/>
          <w:color w:val="000000"/>
          <w:sz w:val="24"/>
          <w:szCs w:val="24"/>
          <w:rtl/>
        </w:rPr>
        <w:t xml:space="preserve">כלל 3(ב) מונה 13 פרטי מידע שמותר לכלול בשלוש אלו ובכללם: תארים אקדמיים של עורכי הדין ותארים אחרים שיש לעורכי הדין בתנאי שדין אחר מסדיר את השימוש בהם. כך לדוגמא, מותר לציין בשלוש אלו את עובדת היות עורך הדין רואה חשבון, טוען רבני, יועץ מס. לעומתם, אסור לציין את עובדת היותו "שופט בדימוס" הואיל ואין דין המסדיר את השימוש בתואר זה (החלטת הוועדה ב- </w:t>
      </w:r>
      <w:hyperlink r:id="rId5" w:tgtFrame="_blank" w:history="1">
        <w:r w:rsidRPr="0030632F">
          <w:rPr>
            <w:rFonts w:ascii="Arial" w:eastAsia="Times New Roman" w:hAnsi="Arial" w:cs="David" w:hint="cs"/>
            <w:b/>
            <w:bCs/>
            <w:color w:val="706158"/>
            <w:sz w:val="24"/>
            <w:szCs w:val="24"/>
            <w:u w:val="single"/>
            <w:rtl/>
          </w:rPr>
          <w:t>אתיקה מקצועית 11</w:t>
        </w:r>
      </w:hyperlink>
      <w:r w:rsidRPr="0030632F">
        <w:rPr>
          <w:rFonts w:ascii="Arial" w:eastAsia="Times New Roman" w:hAnsi="Arial" w:cs="David" w:hint="cs"/>
          <w:color w:val="000000"/>
          <w:sz w:val="24"/>
          <w:szCs w:val="24"/>
          <w:rtl/>
        </w:rPr>
        <w:t xml:space="preserve"> (2004)). הכלל ממשיך וקובע שמותר לציין רישיון עריכת דין במדינות נוספות, השפות אותן דובר עורך הדין, מועד הסמכה כעורך דין, שעות הפתיחה של המשרד ועוד.</w:t>
      </w:r>
    </w:p>
    <w:p w:rsidR="0030632F" w:rsidRPr="0030632F" w:rsidRDefault="0030632F" w:rsidP="0030632F">
      <w:pPr>
        <w:shd w:val="clear" w:color="auto" w:fill="FFFFFF"/>
        <w:spacing w:after="0" w:line="360" w:lineRule="auto"/>
        <w:jc w:val="both"/>
        <w:rPr>
          <w:rFonts w:ascii="Times New Roman" w:eastAsia="Times New Roman" w:hAnsi="Times New Roman" w:cs="David" w:hint="cs"/>
          <w:color w:val="000000"/>
          <w:sz w:val="24"/>
          <w:szCs w:val="24"/>
          <w:rtl/>
        </w:rPr>
      </w:pPr>
    </w:p>
    <w:p w:rsidR="0030632F" w:rsidRPr="0030632F" w:rsidRDefault="0030632F" w:rsidP="0030632F">
      <w:pPr>
        <w:shd w:val="clear" w:color="auto" w:fill="FFFFFF"/>
        <w:spacing w:after="0" w:line="360" w:lineRule="auto"/>
        <w:jc w:val="both"/>
        <w:rPr>
          <w:rFonts w:ascii="Arial" w:eastAsia="Times New Roman" w:hAnsi="Arial" w:cs="David" w:hint="cs"/>
          <w:color w:val="000000"/>
          <w:sz w:val="24"/>
          <w:szCs w:val="24"/>
          <w:rtl/>
        </w:rPr>
      </w:pPr>
      <w:r w:rsidRPr="0030632F">
        <w:rPr>
          <w:rFonts w:ascii="Arial" w:eastAsia="Times New Roman" w:hAnsi="Arial" w:cs="David" w:hint="cs"/>
          <w:color w:val="000000"/>
          <w:sz w:val="24"/>
          <w:szCs w:val="24"/>
          <w:rtl/>
        </w:rPr>
        <w:t xml:space="preserve">מידע חשוב שמותר לעורך דין לכלול בשלוש אלו הוא פירוט "עורכי הדין העובדים עמו במשרד" (כלל 3(ב)(7)). כלל זה עורר שאלות רבות. ועדת הפרסומת קבעה שעל נייר המכתבים של המשרד ניתן לרשום רק שמות של עורכי דין שהם חברי לשכת עורכי הדין בישראל. לפיכך, לא ניתן לרשום שם של עורך דין זר שאינו חבר הלשכה בישראל ולא ניתן לרשום שם של מתמחה, לרבות כאלו שסיימו את התמחותם אך טרם הוסמכו. מותר לרשום על נייר מכתבים כיועץ רק עורכי דין שהם חברי הלשכה בישראל. (החלטות הוועדה ב- </w:t>
      </w:r>
      <w:hyperlink r:id="rId6" w:tgtFrame="_blank" w:history="1">
        <w:r w:rsidRPr="0030632F">
          <w:rPr>
            <w:rFonts w:ascii="Arial" w:eastAsia="Times New Roman" w:hAnsi="Arial" w:cs="David" w:hint="cs"/>
            <w:b/>
            <w:bCs/>
            <w:color w:val="706158"/>
            <w:sz w:val="24"/>
            <w:szCs w:val="24"/>
            <w:u w:val="single"/>
            <w:rtl/>
          </w:rPr>
          <w:t>אתיקה מקצועית 33</w:t>
        </w:r>
      </w:hyperlink>
      <w:r w:rsidRPr="0030632F">
        <w:rPr>
          <w:rFonts w:ascii="Arial" w:eastAsia="Times New Roman" w:hAnsi="Arial" w:cs="David" w:hint="cs"/>
          <w:color w:val="000000"/>
          <w:sz w:val="24"/>
          <w:szCs w:val="24"/>
          <w:rtl/>
        </w:rPr>
        <w:t xml:space="preserve"> (2009)) ולא ניתן לרשום שמו של משפטן בעל תואר </w:t>
      </w:r>
      <w:r w:rsidRPr="0030632F">
        <w:rPr>
          <w:rFonts w:ascii="Arial" w:eastAsia="Times New Roman" w:hAnsi="Arial" w:cs="David"/>
          <w:color w:val="000000"/>
          <w:sz w:val="24"/>
          <w:szCs w:val="24"/>
        </w:rPr>
        <w:t>LL.B</w:t>
      </w:r>
      <w:r w:rsidRPr="0030632F">
        <w:rPr>
          <w:rFonts w:ascii="Arial" w:eastAsia="Times New Roman" w:hAnsi="Arial" w:cs="David" w:hint="cs"/>
          <w:color w:val="000000"/>
          <w:sz w:val="24"/>
          <w:szCs w:val="24"/>
          <w:rtl/>
        </w:rPr>
        <w:t xml:space="preserve"> (החלטת הוועדה ב- </w:t>
      </w:r>
      <w:hyperlink r:id="rId7" w:tgtFrame="_blank" w:history="1">
        <w:r w:rsidRPr="0030632F">
          <w:rPr>
            <w:rFonts w:ascii="Arial" w:eastAsia="Times New Roman" w:hAnsi="Arial" w:cs="David" w:hint="cs"/>
            <w:b/>
            <w:bCs/>
            <w:color w:val="706158"/>
            <w:sz w:val="24"/>
            <w:szCs w:val="24"/>
            <w:u w:val="single"/>
            <w:rtl/>
          </w:rPr>
          <w:t>אתיקה מקצועית 13</w:t>
        </w:r>
      </w:hyperlink>
      <w:r w:rsidRPr="0030632F">
        <w:rPr>
          <w:rFonts w:ascii="Arial" w:eastAsia="Times New Roman" w:hAnsi="Arial" w:cs="David" w:hint="cs"/>
          <w:color w:val="000000"/>
          <w:sz w:val="24"/>
          <w:szCs w:val="24"/>
          <w:rtl/>
        </w:rPr>
        <w:t xml:space="preserve"> ( 2005)). </w:t>
      </w:r>
    </w:p>
    <w:p w:rsidR="0030632F" w:rsidRPr="0030632F" w:rsidRDefault="0030632F" w:rsidP="0030632F">
      <w:pPr>
        <w:shd w:val="clear" w:color="auto" w:fill="FFFFFF"/>
        <w:spacing w:after="0" w:line="360" w:lineRule="auto"/>
        <w:jc w:val="both"/>
        <w:rPr>
          <w:rFonts w:ascii="Times New Roman" w:eastAsia="Times New Roman" w:hAnsi="Times New Roman" w:cs="David" w:hint="cs"/>
          <w:color w:val="000000"/>
          <w:sz w:val="24"/>
          <w:szCs w:val="24"/>
          <w:rtl/>
        </w:rPr>
      </w:pPr>
    </w:p>
    <w:p w:rsidR="0030632F" w:rsidRPr="0030632F" w:rsidRDefault="0030632F" w:rsidP="0030632F">
      <w:pPr>
        <w:shd w:val="clear" w:color="auto" w:fill="FFFFFF"/>
        <w:spacing w:after="0" w:line="360" w:lineRule="auto"/>
        <w:jc w:val="both"/>
        <w:rPr>
          <w:rFonts w:ascii="Arial" w:eastAsia="Times New Roman" w:hAnsi="Arial" w:cs="David" w:hint="cs"/>
          <w:color w:val="000000"/>
          <w:sz w:val="24"/>
          <w:szCs w:val="24"/>
          <w:rtl/>
        </w:rPr>
      </w:pPr>
      <w:r w:rsidRPr="0030632F">
        <w:rPr>
          <w:rFonts w:ascii="Arial" w:eastAsia="Times New Roman" w:hAnsi="Arial" w:cs="David" w:hint="cs"/>
          <w:color w:val="000000"/>
          <w:sz w:val="24"/>
          <w:szCs w:val="24"/>
          <w:rtl/>
        </w:rPr>
        <w:t xml:space="preserve">ועדת האתיקה הארצית קבעה שעורך דין רשאי להציג על ניר המכתבים המשרדי שלו את כל עורכי הדין העובדים עמו במשרד, בין אם הם שותפים מלאים, שכירים, יועצים או שותפים לשירותי המשרד ובלבד שיש ביניהם שיתוף פעולה מקצועי. המבחן לשיתוף פעולה מקצועי הוא ניהול משרד משותף ובעיקר קיום מנגנון למניעת ניגוד עניינים בין עורכי הדין באותו משרד. שיקולים משניים נוספים עשויים להיות קיום לקוחות משותפים, דרכי היוועצות מקצועית קבועות, שיתוף בהכנסות משכר טרחה ועוד. לפי ההחלטה, ההכרעה אינה בוחנת ואינה צריכה לבחון את ההתקשרות המסחרית או הכלכלית בין עורכי הדין באותו משרד (שכידוע יש לה היבטים רבים ומגוונים). לפיכך עורך דין רשאי להציג על ניר מכתבים משרדי שלו עורך דין השוכר </w:t>
      </w:r>
      <w:r w:rsidRPr="0030632F">
        <w:rPr>
          <w:rFonts w:ascii="Arial" w:eastAsia="Times New Roman" w:hAnsi="Arial" w:cs="David" w:hint="cs"/>
          <w:color w:val="000000"/>
          <w:sz w:val="24"/>
          <w:szCs w:val="24"/>
          <w:rtl/>
        </w:rPr>
        <w:lastRenderedPageBreak/>
        <w:t>שירותי משרד ובלבד שיש ביניהם שיתוף פעולה מקצועי (</w:t>
      </w:r>
      <w:r w:rsidRPr="0030632F">
        <w:rPr>
          <w:rFonts w:ascii="Arial" w:eastAsia="Times New Roman" w:hAnsi="Arial" w:cs="David" w:hint="cs"/>
          <w:color w:val="000000"/>
          <w:sz w:val="24"/>
          <w:szCs w:val="24"/>
          <w:u w:val="single"/>
          <w:rtl/>
        </w:rPr>
        <w:t>"</w:t>
      </w:r>
      <w:hyperlink r:id="rId8" w:tgtFrame="_blank" w:history="1">
        <w:r w:rsidRPr="0030632F">
          <w:rPr>
            <w:rFonts w:ascii="Arial" w:eastAsia="Times New Roman" w:hAnsi="Arial" w:cs="David" w:hint="cs"/>
            <w:b/>
            <w:bCs/>
            <w:color w:val="706158"/>
            <w:sz w:val="24"/>
            <w:szCs w:val="24"/>
            <w:u w:val="single"/>
            <w:rtl/>
          </w:rPr>
          <w:t>הצגת שמות עורכי דין על גבי נייר המכתבים של המשרד</w:t>
        </w:r>
      </w:hyperlink>
      <w:r w:rsidRPr="0030632F">
        <w:rPr>
          <w:rFonts w:ascii="Arial" w:eastAsia="Times New Roman" w:hAnsi="Arial" w:cs="David" w:hint="cs"/>
          <w:color w:val="000000"/>
          <w:sz w:val="24"/>
          <w:szCs w:val="24"/>
          <w:u w:val="single"/>
          <w:rtl/>
        </w:rPr>
        <w:t>"</w:t>
      </w:r>
      <w:r w:rsidRPr="0030632F">
        <w:rPr>
          <w:rFonts w:ascii="Arial" w:eastAsia="Times New Roman" w:hAnsi="Arial" w:cs="David" w:hint="cs"/>
          <w:color w:val="000000"/>
          <w:sz w:val="24"/>
          <w:szCs w:val="24"/>
          <w:rtl/>
        </w:rPr>
        <w:t xml:space="preserve"> </w:t>
      </w:r>
      <w:r w:rsidRPr="0030632F">
        <w:rPr>
          <w:rFonts w:ascii="Arial" w:eastAsia="Times New Roman" w:hAnsi="Arial" w:cs="David" w:hint="cs"/>
          <w:b/>
          <w:bCs/>
          <w:color w:val="000000"/>
          <w:sz w:val="24"/>
          <w:szCs w:val="24"/>
          <w:rtl/>
        </w:rPr>
        <w:t>אתיקה מקצועית 42</w:t>
      </w:r>
      <w:r w:rsidRPr="0030632F">
        <w:rPr>
          <w:rFonts w:ascii="Arial" w:eastAsia="Times New Roman" w:hAnsi="Arial" w:cs="David" w:hint="cs"/>
          <w:color w:val="000000"/>
          <w:sz w:val="24"/>
          <w:szCs w:val="24"/>
          <w:rtl/>
        </w:rPr>
        <w:t xml:space="preserve"> </w:t>
      </w:r>
      <w:proofErr w:type="spellStart"/>
      <w:r w:rsidRPr="0030632F">
        <w:rPr>
          <w:rFonts w:ascii="Arial" w:eastAsia="Times New Roman" w:hAnsi="Arial" w:cs="David" w:hint="cs"/>
          <w:color w:val="000000"/>
          <w:sz w:val="24"/>
          <w:szCs w:val="24"/>
          <w:rtl/>
        </w:rPr>
        <w:t>עמ</w:t>
      </w:r>
      <w:proofErr w:type="spellEnd"/>
      <w:r w:rsidRPr="0030632F">
        <w:rPr>
          <w:rFonts w:ascii="Arial" w:eastAsia="Times New Roman" w:hAnsi="Arial" w:cs="David" w:hint="cs"/>
          <w:color w:val="000000"/>
          <w:sz w:val="24"/>
          <w:szCs w:val="24"/>
          <w:rtl/>
        </w:rPr>
        <w:t>' 4-5 (2011)).</w:t>
      </w:r>
    </w:p>
    <w:p w:rsidR="0030632F" w:rsidRPr="0030632F" w:rsidRDefault="0030632F" w:rsidP="0030632F">
      <w:pPr>
        <w:shd w:val="clear" w:color="auto" w:fill="FFFFFF"/>
        <w:spacing w:after="0" w:line="360" w:lineRule="auto"/>
        <w:jc w:val="both"/>
        <w:rPr>
          <w:rFonts w:ascii="Times New Roman" w:eastAsia="Times New Roman" w:hAnsi="Times New Roman" w:cs="David" w:hint="cs"/>
          <w:color w:val="000000"/>
          <w:sz w:val="24"/>
          <w:szCs w:val="24"/>
          <w:rtl/>
        </w:rPr>
      </w:pPr>
    </w:p>
    <w:p w:rsidR="0030632F" w:rsidRPr="0030632F" w:rsidRDefault="0030632F" w:rsidP="0030632F">
      <w:pPr>
        <w:shd w:val="clear" w:color="auto" w:fill="FFFFFF"/>
        <w:spacing w:after="0" w:line="360" w:lineRule="auto"/>
        <w:jc w:val="both"/>
        <w:rPr>
          <w:rFonts w:ascii="Arial" w:eastAsia="Times New Roman" w:hAnsi="Arial" w:cs="David" w:hint="cs"/>
          <w:color w:val="000000"/>
          <w:sz w:val="24"/>
          <w:szCs w:val="24"/>
          <w:rtl/>
        </w:rPr>
      </w:pPr>
      <w:r w:rsidRPr="0030632F">
        <w:rPr>
          <w:rFonts w:ascii="Arial" w:eastAsia="Times New Roman" w:hAnsi="Arial" w:cs="David" w:hint="cs"/>
          <w:color w:val="000000"/>
          <w:sz w:val="24"/>
          <w:szCs w:val="24"/>
          <w:rtl/>
        </w:rPr>
        <w:t xml:space="preserve">יושם לב שכלל 3(ב)(9) מתיר לכלול בניר המכתבים "שמות שותפים ועורכי דין שכירים שפרשו לגמלאות ושמות עורכי דין שכירים שנפטרו, ובלבד ששמותיהם הופיעו על נייר המכתבים בעת שפרשו או נפטרו, לפי העניין". </w:t>
      </w:r>
    </w:p>
    <w:p w:rsidR="0030632F" w:rsidRPr="0030632F" w:rsidRDefault="0030632F" w:rsidP="0030632F">
      <w:pPr>
        <w:shd w:val="clear" w:color="auto" w:fill="FFFFFF"/>
        <w:spacing w:after="0" w:line="360" w:lineRule="auto"/>
        <w:jc w:val="both"/>
        <w:rPr>
          <w:rFonts w:ascii="Times New Roman" w:eastAsia="Times New Roman" w:hAnsi="Times New Roman" w:cs="David" w:hint="cs"/>
          <w:color w:val="000000"/>
          <w:sz w:val="24"/>
          <w:szCs w:val="24"/>
          <w:rtl/>
        </w:rPr>
      </w:pPr>
    </w:p>
    <w:p w:rsidR="0030632F" w:rsidRPr="0030632F" w:rsidRDefault="0030632F" w:rsidP="0030632F">
      <w:pPr>
        <w:shd w:val="clear" w:color="auto" w:fill="FFFFFF"/>
        <w:spacing w:after="0" w:line="360" w:lineRule="auto"/>
        <w:jc w:val="both"/>
        <w:rPr>
          <w:rFonts w:ascii="Arial" w:eastAsia="Times New Roman" w:hAnsi="Arial" w:cs="David" w:hint="cs"/>
          <w:color w:val="000000"/>
          <w:sz w:val="24"/>
          <w:szCs w:val="24"/>
          <w:rtl/>
        </w:rPr>
      </w:pPr>
      <w:r w:rsidRPr="0030632F">
        <w:rPr>
          <w:rFonts w:ascii="Arial" w:eastAsia="Times New Roman" w:hAnsi="Arial" w:cs="David" w:hint="cs"/>
          <w:color w:val="000000"/>
          <w:sz w:val="24"/>
          <w:szCs w:val="24"/>
          <w:rtl/>
        </w:rPr>
        <w:t xml:space="preserve">מידע נוסף שמותר לכלול בפרסומת עורכי דין הם תחומי העיסוק של המשרד (כלל 3(ב)(10)) ולכן גם על גבי נייר המכתבים של המשרד ניתן לרשום תחומי עיסוק ללא הגבלה. כך שניתן לציין "רשלנות רפואית" כתחום עיסוק אך אין לרשום על נייר המכתבים "מחלקת תביעות רשלנות רפואית", מאחר ואינה תחום עיסוק אלא תיאור ארגוני (החלטת הועדה ב- </w:t>
      </w:r>
      <w:hyperlink r:id="rId9" w:tgtFrame="_blank" w:history="1">
        <w:r w:rsidRPr="0030632F">
          <w:rPr>
            <w:rFonts w:ascii="Arial" w:eastAsia="Times New Roman" w:hAnsi="Arial" w:cs="David" w:hint="cs"/>
            <w:b/>
            <w:bCs/>
            <w:color w:val="706158"/>
            <w:sz w:val="24"/>
            <w:szCs w:val="24"/>
            <w:u w:val="single"/>
            <w:rtl/>
          </w:rPr>
          <w:t>אתיקה מקצועית 16</w:t>
        </w:r>
      </w:hyperlink>
      <w:r w:rsidRPr="0030632F">
        <w:rPr>
          <w:rFonts w:ascii="Arial" w:eastAsia="Times New Roman" w:hAnsi="Arial" w:cs="David" w:hint="cs"/>
          <w:color w:val="000000"/>
          <w:sz w:val="24"/>
          <w:szCs w:val="24"/>
          <w:rtl/>
        </w:rPr>
        <w:t xml:space="preserve"> (2005)).</w:t>
      </w:r>
    </w:p>
    <w:p w:rsidR="0030632F" w:rsidRPr="0030632F" w:rsidRDefault="0030632F" w:rsidP="0030632F">
      <w:pPr>
        <w:shd w:val="clear" w:color="auto" w:fill="FFFFFF"/>
        <w:spacing w:after="0" w:line="360" w:lineRule="auto"/>
        <w:jc w:val="both"/>
        <w:rPr>
          <w:rFonts w:ascii="Times New Roman" w:eastAsia="Times New Roman" w:hAnsi="Times New Roman" w:cs="David" w:hint="cs"/>
          <w:color w:val="000000"/>
          <w:sz w:val="24"/>
          <w:szCs w:val="24"/>
          <w:rtl/>
        </w:rPr>
      </w:pPr>
    </w:p>
    <w:p w:rsidR="0030632F" w:rsidRPr="0030632F" w:rsidRDefault="0030632F" w:rsidP="0030632F">
      <w:pPr>
        <w:shd w:val="clear" w:color="auto" w:fill="FFFFFF"/>
        <w:spacing w:after="0" w:line="360" w:lineRule="auto"/>
        <w:jc w:val="both"/>
        <w:rPr>
          <w:rFonts w:ascii="Arial" w:eastAsia="Times New Roman" w:hAnsi="Arial" w:cs="David" w:hint="cs"/>
          <w:color w:val="000000"/>
          <w:sz w:val="24"/>
          <w:szCs w:val="24"/>
          <w:rtl/>
        </w:rPr>
      </w:pPr>
      <w:r w:rsidRPr="0030632F">
        <w:rPr>
          <w:rFonts w:ascii="Arial" w:eastAsia="Times New Roman" w:hAnsi="Arial" w:cs="David" w:hint="cs"/>
          <w:color w:val="000000"/>
          <w:sz w:val="24"/>
          <w:szCs w:val="24"/>
          <w:rtl/>
        </w:rPr>
        <w:t xml:space="preserve">הרשימה הקבועה בכלל 3(ב) של פריטי המידע אותם מותר לכלול בפרסומת עורך דין, בכללה שלוש אלו, היא רשימה סגורה - מה שלא מופיע בכלל אסור לכלול אותו בנייר המכתבים. כך לדוגמא נקבע שאין לציין בנייר המכתבים שיש למשרד "תו-תקן" (החלטת הוועדה ב- </w:t>
      </w:r>
      <w:hyperlink r:id="rId10" w:tgtFrame="_blank" w:history="1">
        <w:r w:rsidRPr="0030632F">
          <w:rPr>
            <w:rFonts w:ascii="Arial" w:eastAsia="Times New Roman" w:hAnsi="Arial" w:cs="David" w:hint="cs"/>
            <w:b/>
            <w:bCs/>
            <w:color w:val="706158"/>
            <w:sz w:val="24"/>
            <w:szCs w:val="24"/>
            <w:u w:val="single"/>
            <w:rtl/>
          </w:rPr>
          <w:t>אתיקה מקצועית 39</w:t>
        </w:r>
      </w:hyperlink>
      <w:r w:rsidRPr="0030632F">
        <w:rPr>
          <w:rFonts w:ascii="Arial" w:eastAsia="Times New Roman" w:hAnsi="Arial" w:cs="David" w:hint="cs"/>
          <w:color w:val="000000"/>
          <w:sz w:val="24"/>
          <w:szCs w:val="24"/>
          <w:rtl/>
        </w:rPr>
        <w:t xml:space="preserve"> (2011). ועוד נקבע שאין לכלול בנייר המכתבים ציטוט, למשל מהתנ"ך או של הוגה דעות (החלטת הוועדה ב- </w:t>
      </w:r>
      <w:hyperlink r:id="rId11" w:tgtFrame="_blank" w:history="1">
        <w:r w:rsidRPr="0030632F">
          <w:rPr>
            <w:rFonts w:ascii="Arial" w:eastAsia="Times New Roman" w:hAnsi="Arial" w:cs="David" w:hint="cs"/>
            <w:b/>
            <w:bCs/>
            <w:color w:val="706158"/>
            <w:sz w:val="24"/>
            <w:szCs w:val="24"/>
            <w:u w:val="single"/>
            <w:rtl/>
          </w:rPr>
          <w:t>אתיקה מקצועית 45</w:t>
        </w:r>
      </w:hyperlink>
      <w:r w:rsidRPr="0030632F">
        <w:rPr>
          <w:rFonts w:ascii="Arial" w:eastAsia="Times New Roman" w:hAnsi="Arial" w:cs="David" w:hint="cs"/>
          <w:color w:val="000000"/>
          <w:sz w:val="24"/>
          <w:szCs w:val="24"/>
          <w:rtl/>
        </w:rPr>
        <w:t xml:space="preserve"> (2012)). </w:t>
      </w:r>
    </w:p>
    <w:p w:rsidR="0030632F" w:rsidRPr="0030632F" w:rsidRDefault="0030632F" w:rsidP="0030632F">
      <w:pPr>
        <w:shd w:val="clear" w:color="auto" w:fill="FFFFFF"/>
        <w:spacing w:after="0" w:line="360" w:lineRule="auto"/>
        <w:jc w:val="both"/>
        <w:rPr>
          <w:rFonts w:ascii="Times New Roman" w:eastAsia="Times New Roman" w:hAnsi="Times New Roman" w:cs="David" w:hint="cs"/>
          <w:color w:val="000000"/>
          <w:sz w:val="24"/>
          <w:szCs w:val="24"/>
          <w:rtl/>
        </w:rPr>
      </w:pPr>
    </w:p>
    <w:p w:rsidR="0030632F" w:rsidRPr="0030632F" w:rsidRDefault="0030632F" w:rsidP="0030632F">
      <w:pPr>
        <w:shd w:val="clear" w:color="auto" w:fill="FFFFFF"/>
        <w:spacing w:after="0" w:line="360" w:lineRule="auto"/>
        <w:jc w:val="both"/>
        <w:rPr>
          <w:rFonts w:ascii="Arial" w:eastAsia="Times New Roman" w:hAnsi="Arial" w:cs="David" w:hint="cs"/>
          <w:color w:val="000000"/>
          <w:sz w:val="24"/>
          <w:szCs w:val="24"/>
          <w:rtl/>
        </w:rPr>
      </w:pPr>
      <w:r w:rsidRPr="0030632F">
        <w:rPr>
          <w:rFonts w:ascii="Arial" w:eastAsia="Times New Roman" w:hAnsi="Arial" w:cs="David" w:hint="cs"/>
          <w:color w:val="000000"/>
          <w:sz w:val="24"/>
          <w:szCs w:val="24"/>
          <w:rtl/>
        </w:rPr>
        <w:t xml:space="preserve">אין להוסיף איור לנייר המכתבים, כרטיס הביקור ושלט המשרד. בשלוש אלו אסור לעורך דין לעשות שימוש בסמל לשכת עורכי הדין. השימוש בסמל הלשכה מותר אך ורק ללשכת עורכי הדין (החלטת הוועדה ב- </w:t>
      </w:r>
      <w:hyperlink r:id="rId12" w:tgtFrame="_blank" w:history="1">
        <w:r w:rsidRPr="0030632F">
          <w:rPr>
            <w:rFonts w:ascii="Arial" w:eastAsia="Times New Roman" w:hAnsi="Arial" w:cs="David" w:hint="cs"/>
            <w:b/>
            <w:bCs/>
            <w:color w:val="706158"/>
            <w:sz w:val="24"/>
            <w:szCs w:val="24"/>
            <w:u w:val="single"/>
            <w:rtl/>
          </w:rPr>
          <w:t>אתיקה מקצועית 11</w:t>
        </w:r>
      </w:hyperlink>
      <w:r w:rsidRPr="0030632F">
        <w:rPr>
          <w:rFonts w:ascii="Arial" w:eastAsia="Times New Roman" w:hAnsi="Arial" w:cs="David" w:hint="cs"/>
          <w:color w:val="000000"/>
          <w:sz w:val="24"/>
          <w:szCs w:val="24"/>
          <w:rtl/>
        </w:rPr>
        <w:t xml:space="preserve"> (2004) ו- </w:t>
      </w:r>
      <w:hyperlink r:id="rId13" w:tgtFrame="_blank" w:history="1">
        <w:r w:rsidRPr="0030632F">
          <w:rPr>
            <w:rFonts w:ascii="Arial" w:eastAsia="Times New Roman" w:hAnsi="Arial" w:cs="David" w:hint="cs"/>
            <w:b/>
            <w:bCs/>
            <w:color w:val="706158"/>
            <w:sz w:val="24"/>
            <w:szCs w:val="24"/>
            <w:u w:val="single"/>
            <w:rtl/>
          </w:rPr>
          <w:t>16</w:t>
        </w:r>
      </w:hyperlink>
      <w:r w:rsidRPr="0030632F">
        <w:rPr>
          <w:rFonts w:ascii="Arial" w:eastAsia="Times New Roman" w:hAnsi="Arial" w:cs="David" w:hint="cs"/>
          <w:color w:val="000000"/>
          <w:sz w:val="24"/>
          <w:szCs w:val="24"/>
          <w:rtl/>
        </w:rPr>
        <w:t xml:space="preserve"> (2005)). מנגד, מותר לוגו המורכב מאותיות בשם המשרד, בעברית או באנגלית, אך אסור להוסיף ללוגו איורים או כיתובים אחרים (החלטת הוועדה ב- </w:t>
      </w:r>
      <w:hyperlink r:id="rId14" w:tgtFrame="_blank" w:history="1">
        <w:r w:rsidRPr="0030632F">
          <w:rPr>
            <w:rFonts w:ascii="Arial" w:eastAsia="Times New Roman" w:hAnsi="Arial" w:cs="David" w:hint="cs"/>
            <w:b/>
            <w:bCs/>
            <w:color w:val="706158"/>
            <w:sz w:val="24"/>
            <w:szCs w:val="24"/>
            <w:u w:val="single"/>
            <w:rtl/>
          </w:rPr>
          <w:t>אתיקה מקצועית 33</w:t>
        </w:r>
      </w:hyperlink>
      <w:r w:rsidRPr="0030632F">
        <w:rPr>
          <w:rFonts w:ascii="Arial" w:eastAsia="Times New Roman" w:hAnsi="Arial" w:cs="David" w:hint="cs"/>
          <w:color w:val="000000"/>
          <w:sz w:val="24"/>
          <w:szCs w:val="24"/>
          <w:rtl/>
        </w:rPr>
        <w:t xml:space="preserve"> (2009)). </w:t>
      </w:r>
    </w:p>
    <w:p w:rsidR="0030632F" w:rsidRPr="0030632F" w:rsidRDefault="0030632F" w:rsidP="0030632F">
      <w:pPr>
        <w:shd w:val="clear" w:color="auto" w:fill="FFFFFF"/>
        <w:spacing w:after="0" w:line="360" w:lineRule="auto"/>
        <w:jc w:val="both"/>
        <w:rPr>
          <w:rFonts w:ascii="Times New Roman" w:eastAsia="Times New Roman" w:hAnsi="Times New Roman" w:cs="David" w:hint="cs"/>
          <w:color w:val="000000"/>
          <w:sz w:val="24"/>
          <w:szCs w:val="24"/>
          <w:rtl/>
        </w:rPr>
      </w:pPr>
    </w:p>
    <w:p w:rsidR="00C82E0E" w:rsidRPr="0030632F" w:rsidRDefault="0030632F" w:rsidP="0030632F">
      <w:pPr>
        <w:shd w:val="clear" w:color="auto" w:fill="FFFFFF"/>
        <w:spacing w:after="0" w:line="360" w:lineRule="auto"/>
        <w:jc w:val="both"/>
        <w:rPr>
          <w:rFonts w:ascii="Calibri" w:eastAsia="Calibri" w:hAnsi="Calibri" w:cs="David"/>
          <w:sz w:val="24"/>
          <w:szCs w:val="24"/>
        </w:rPr>
      </w:pPr>
      <w:r w:rsidRPr="0030632F">
        <w:rPr>
          <w:rFonts w:ascii="Arial" w:eastAsia="Times New Roman" w:hAnsi="Arial" w:cs="David" w:hint="cs"/>
          <w:color w:val="000000"/>
          <w:sz w:val="24"/>
          <w:szCs w:val="24"/>
          <w:rtl/>
        </w:rPr>
        <w:t xml:space="preserve">סוגיה נפרדת העולה כל עת נוגעת לגודל שלט המשרד. בכללים אומנם לא נקבעה מגבלה באשר לגודל השלט (בשונה מנוטריונים לגביהם יש הוראה כזו בסעיף 27 לחוק הנוטריונים) אך יש לזכור את המגבלה העקרונית הקבועה בסעיף 55 לחוק לפיה אסור לפרסומת לפגוע בכבוד המקצוע. על בסיס עקרון זה קבעה הוועדה ששלט בגודל 4*2 מטר מהווה גודל חריג ובלתי הולם את מקצוע עריכת הדין וכבוד המקצוע. עוד קבעה הוועדה שאת השלט יש לתלות רק בקיר הבניין בו נמצא המשרד, שלט התלוי על עמוד חיצוני לבניין הוא שלט חוצות האסור. עוד נקבע שניתן להאיר את השלט בתאורה הולמת, לא צבעונית והמליצה שאותיות השלט יהיו בצבע אחיד (החלטות הועדה ב- </w:t>
      </w:r>
      <w:hyperlink r:id="rId15" w:tgtFrame="_blank" w:history="1">
        <w:r w:rsidRPr="0030632F">
          <w:rPr>
            <w:rFonts w:ascii="Arial" w:eastAsia="Times New Roman" w:hAnsi="Arial" w:cs="David" w:hint="cs"/>
            <w:b/>
            <w:bCs/>
            <w:color w:val="706158"/>
            <w:sz w:val="24"/>
            <w:szCs w:val="24"/>
            <w:u w:val="single"/>
            <w:rtl/>
          </w:rPr>
          <w:t>אתיקה מקצועית 33</w:t>
        </w:r>
      </w:hyperlink>
      <w:r w:rsidRPr="0030632F">
        <w:rPr>
          <w:rFonts w:ascii="Arial" w:eastAsia="Times New Roman" w:hAnsi="Arial" w:cs="David" w:hint="cs"/>
          <w:color w:val="000000"/>
          <w:sz w:val="24"/>
          <w:szCs w:val="24"/>
          <w:rtl/>
        </w:rPr>
        <w:t xml:space="preserve"> (2009</w:t>
      </w:r>
      <w:r w:rsidRPr="0030632F">
        <w:rPr>
          <w:rFonts w:ascii="Calibri" w:eastAsia="Calibri" w:hAnsi="Calibri" w:cs="David" w:hint="cs"/>
          <w:sz w:val="24"/>
          <w:szCs w:val="24"/>
          <w:rtl/>
        </w:rPr>
        <w:t>)).</w:t>
      </w:r>
    </w:p>
    <w:sectPr w:rsidR="00C82E0E" w:rsidRPr="0030632F" w:rsidSect="00A64B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0632F"/>
    <w:rsid w:val="0030632F"/>
    <w:rsid w:val="00A64BD2"/>
    <w:rsid w:val="00C82E0E"/>
    <w:rsid w:val="00EC1A5B"/>
    <w:rsid w:val="00FF51A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632F"/>
    <w:rPr>
      <w:b/>
      <w:bCs/>
    </w:rPr>
  </w:style>
</w:styles>
</file>

<file path=word/webSettings.xml><?xml version="1.0" encoding="utf-8"?>
<w:webSettings xmlns:r="http://schemas.openxmlformats.org/officeDocument/2006/relationships" xmlns:w="http://schemas.openxmlformats.org/wordprocessingml/2006/main">
  <w:divs>
    <w:div w:id="1108240019">
      <w:bodyDiv w:val="1"/>
      <w:marLeft w:val="0"/>
      <w:marRight w:val="0"/>
      <w:marTop w:val="0"/>
      <w:marBottom w:val="0"/>
      <w:divBdr>
        <w:top w:val="none" w:sz="0" w:space="0" w:color="auto"/>
        <w:left w:val="none" w:sz="0" w:space="0" w:color="auto"/>
        <w:bottom w:val="none" w:sz="0" w:space="0" w:color="auto"/>
        <w:right w:val="none" w:sz="0" w:space="0" w:color="auto"/>
      </w:divBdr>
      <w:divsChild>
        <w:div w:id="257254248">
          <w:marLeft w:val="0"/>
          <w:marRight w:val="0"/>
          <w:marTop w:val="0"/>
          <w:marBottom w:val="0"/>
          <w:divBdr>
            <w:top w:val="none" w:sz="0" w:space="0" w:color="auto"/>
            <w:left w:val="none" w:sz="0" w:space="0" w:color="auto"/>
            <w:bottom w:val="none" w:sz="0" w:space="0" w:color="auto"/>
            <w:right w:val="none" w:sz="0" w:space="0" w:color="auto"/>
          </w:divBdr>
          <w:divsChild>
            <w:div w:id="658117594">
              <w:marLeft w:val="0"/>
              <w:marRight w:val="0"/>
              <w:marTop w:val="0"/>
              <w:marBottom w:val="0"/>
              <w:divBdr>
                <w:top w:val="none" w:sz="0" w:space="0" w:color="auto"/>
                <w:left w:val="none" w:sz="0" w:space="0" w:color="auto"/>
                <w:bottom w:val="none" w:sz="0" w:space="0" w:color="auto"/>
                <w:right w:val="none" w:sz="0" w:space="0" w:color="auto"/>
              </w:divBdr>
              <w:divsChild>
                <w:div w:id="759065141">
                  <w:marLeft w:val="0"/>
                  <w:marRight w:val="0"/>
                  <w:marTop w:val="0"/>
                  <w:marBottom w:val="0"/>
                  <w:divBdr>
                    <w:top w:val="none" w:sz="0" w:space="0" w:color="auto"/>
                    <w:left w:val="none" w:sz="0" w:space="0" w:color="auto"/>
                    <w:bottom w:val="none" w:sz="0" w:space="0" w:color="auto"/>
                    <w:right w:val="none" w:sz="0" w:space="0" w:color="auto"/>
                  </w:divBdr>
                  <w:divsChild>
                    <w:div w:id="1129013866">
                      <w:marLeft w:val="0"/>
                      <w:marRight w:val="0"/>
                      <w:marTop w:val="0"/>
                      <w:marBottom w:val="0"/>
                      <w:divBdr>
                        <w:top w:val="none" w:sz="0" w:space="0" w:color="auto"/>
                        <w:left w:val="none" w:sz="0" w:space="0" w:color="auto"/>
                        <w:bottom w:val="none" w:sz="0" w:space="0" w:color="auto"/>
                        <w:right w:val="none" w:sz="0" w:space="0" w:color="auto"/>
                      </w:divBdr>
                      <w:divsChild>
                        <w:div w:id="1864049318">
                          <w:marLeft w:val="0"/>
                          <w:marRight w:val="105"/>
                          <w:marTop w:val="0"/>
                          <w:marBottom w:val="0"/>
                          <w:divBdr>
                            <w:top w:val="none" w:sz="0" w:space="0" w:color="auto"/>
                            <w:left w:val="none" w:sz="0" w:space="0" w:color="auto"/>
                            <w:bottom w:val="none" w:sz="0" w:space="0" w:color="auto"/>
                            <w:right w:val="none" w:sz="0" w:space="0" w:color="auto"/>
                          </w:divBdr>
                          <w:divsChild>
                            <w:div w:id="1810855994">
                              <w:marLeft w:val="0"/>
                              <w:marRight w:val="0"/>
                              <w:marTop w:val="0"/>
                              <w:marBottom w:val="0"/>
                              <w:divBdr>
                                <w:top w:val="none" w:sz="0" w:space="0" w:color="auto"/>
                                <w:left w:val="none" w:sz="0" w:space="0" w:color="auto"/>
                                <w:bottom w:val="none" w:sz="0" w:space="0" w:color="auto"/>
                                <w:right w:val="none" w:sz="0" w:space="0" w:color="auto"/>
                              </w:divBdr>
                              <w:divsChild>
                                <w:div w:id="790897332">
                                  <w:marLeft w:val="0"/>
                                  <w:marRight w:val="300"/>
                                  <w:marTop w:val="0"/>
                                  <w:marBottom w:val="0"/>
                                  <w:divBdr>
                                    <w:top w:val="none" w:sz="0" w:space="0" w:color="auto"/>
                                    <w:left w:val="none" w:sz="0" w:space="0" w:color="auto"/>
                                    <w:bottom w:val="none" w:sz="0" w:space="0" w:color="auto"/>
                                    <w:right w:val="none" w:sz="0" w:space="0" w:color="auto"/>
                                  </w:divBdr>
                                  <w:divsChild>
                                    <w:div w:id="979460167">
                                      <w:marLeft w:val="0"/>
                                      <w:marRight w:val="0"/>
                                      <w:marTop w:val="0"/>
                                      <w:marBottom w:val="0"/>
                                      <w:divBdr>
                                        <w:top w:val="none" w:sz="0" w:space="0" w:color="auto"/>
                                        <w:left w:val="none" w:sz="0" w:space="0" w:color="auto"/>
                                        <w:bottom w:val="none" w:sz="0" w:space="0" w:color="auto"/>
                                        <w:right w:val="none" w:sz="0" w:space="0" w:color="auto"/>
                                      </w:divBdr>
                                      <w:divsChild>
                                        <w:div w:id="4927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raelbar.org.il/newspaper_innerData3.asp?pgId=115391&amp;catId=60&amp;path_catID=60&amp;fatherId=115388" TargetMode="External"/><Relationship Id="rId13" Type="http://schemas.openxmlformats.org/officeDocument/2006/relationships/hyperlink" Target="http://www.israelbar.org.il/newspaper_innerData3.asp?pgId=31376&amp;catId=60&amp;path_catID=60&amp;fatherId=31297"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israelbar.org.il/newspaper_innerData3.asp?pgId=19395&amp;catId=60&amp;path_catID=60&amp;fatherId=19384" TargetMode="External"/><Relationship Id="rId12" Type="http://schemas.openxmlformats.org/officeDocument/2006/relationships/hyperlink" Target="http://www.israelbar.org.il/newspaper_innerData3.asp?pgId=15845&amp;catId=60&amp;path_catID=60&amp;fatherId=1583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israelbar.org.il/newspaper_innerData3.asp?pgId=88621&amp;catId=60&amp;path_catID=60&amp;fatherId=88491" TargetMode="External"/><Relationship Id="rId11" Type="http://schemas.openxmlformats.org/officeDocument/2006/relationships/hyperlink" Target="http://www.israelbar.org.il/newspaper_innerData3.asp?pgId=126015&amp;catId=60&amp;path_catID=60&amp;fatherId=125857" TargetMode="External"/><Relationship Id="rId5" Type="http://schemas.openxmlformats.org/officeDocument/2006/relationships/hyperlink" Target="http://www.israelbar.org.il/newspaper_innerData3.asp?pgId=15845&amp;catId=60&amp;path_catID=60&amp;fatherId=15831" TargetMode="External"/><Relationship Id="rId15" Type="http://schemas.openxmlformats.org/officeDocument/2006/relationships/hyperlink" Target="http://www.israelbar.org.il/newspaper_innerData3.asp?pgId=88621&amp;catId=60&amp;path_catID=60&amp;fatherId=88491" TargetMode="External"/><Relationship Id="rId10" Type="http://schemas.openxmlformats.org/officeDocument/2006/relationships/hyperlink" Target="http://www.israelbar.org.il/newspaper_innerData3.asp?pgId=107616&amp;catId=60&amp;path_catID=60&amp;fatherId=107502" TargetMode="External"/><Relationship Id="rId19" Type="http://schemas.openxmlformats.org/officeDocument/2006/relationships/customXml" Target="../customXml/item2.xml"/><Relationship Id="rId4" Type="http://schemas.openxmlformats.org/officeDocument/2006/relationships/hyperlink" Target="http://ww.israelbar.org.il/UpLoadFiles/Bar_Association_Rules_(advertisement)_updated_july_2008.pdf" TargetMode="External"/><Relationship Id="rId9" Type="http://schemas.openxmlformats.org/officeDocument/2006/relationships/hyperlink" Target="http://www.israelbar.org.il/newspaper_innerData3.asp?pgId=31376&amp;catId=60&amp;path_catID=60&amp;fatherId=31297" TargetMode="External"/><Relationship Id="rId14" Type="http://schemas.openxmlformats.org/officeDocument/2006/relationships/hyperlink" Target="http://www.israelbar.org.il/newspaper_innerData3.asp?pgId=88621&amp;catId=60&amp;path_catID=60&amp;fatherId=8849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51F9D127B02EE4781C94E021172EF65" ma:contentTypeVersion="1" ma:contentTypeDescription="צור מסמך חדש." ma:contentTypeScope="" ma:versionID="73233d9d793cef0c9e7831bdbf4fdeb9">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C2CB3F-589A-410C-A288-E3489098D0B8}"/>
</file>

<file path=customXml/itemProps2.xml><?xml version="1.0" encoding="utf-8"?>
<ds:datastoreItem xmlns:ds="http://schemas.openxmlformats.org/officeDocument/2006/customXml" ds:itemID="{5237607A-60A4-4373-838B-8532E2971FEC}"/>
</file>

<file path=customXml/itemProps3.xml><?xml version="1.0" encoding="utf-8"?>
<ds:datastoreItem xmlns:ds="http://schemas.openxmlformats.org/officeDocument/2006/customXml" ds:itemID="{AD6A52AF-0DDC-41B9-8B11-9BB49A68B872}"/>
</file>

<file path=docProps/app.xml><?xml version="1.0" encoding="utf-8"?>
<Properties xmlns="http://schemas.openxmlformats.org/officeDocument/2006/extended-properties" xmlns:vt="http://schemas.openxmlformats.org/officeDocument/2006/docPropsVTypes">
  <Template>Normal</Template>
  <TotalTime>8</TotalTime>
  <Pages>2</Pages>
  <Words>1019</Words>
  <Characters>5098</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1</cp:revision>
  <dcterms:created xsi:type="dcterms:W3CDTF">2014-08-27T10:19:00Z</dcterms:created>
  <dcterms:modified xsi:type="dcterms:W3CDTF">2014-08-27T10:27:00Z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0x010100F51F9D127B02EE4781C94E021172EF65</vt:lpwstr>
  </property>
</Properties>
</file>