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AB" w:rsidRDefault="00230DAB" w:rsidP="00230DAB">
      <w:pPr>
        <w:rPr>
          <w:rFonts w:ascii="Arial" w:hAnsi="Arial"/>
          <w:b/>
          <w:bCs/>
          <w:sz w:val="36"/>
          <w:szCs w:val="36"/>
          <w:rtl/>
        </w:rPr>
      </w:pPr>
      <w:r w:rsidRPr="00AC5D72">
        <w:rPr>
          <w:b/>
          <w:bCs/>
          <w:noProof/>
          <w:sz w:val="36"/>
          <w:szCs w:val="36"/>
        </w:rPr>
        <w:drawing>
          <wp:inline distT="0" distB="0" distL="0" distR="0">
            <wp:extent cx="5274310" cy="1111885"/>
            <wp:effectExtent l="0" t="0" r="2540" b="0"/>
            <wp:docPr id="1" name="תמונה 1" descr="ethic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ethics-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DAB">
        <w:rPr>
          <w:rFonts w:ascii="Arial" w:hAnsi="Arial" w:hint="cs"/>
          <w:b/>
          <w:bCs/>
          <w:sz w:val="36"/>
          <w:szCs w:val="36"/>
          <w:rtl/>
        </w:rPr>
        <w:t xml:space="preserve"> </w:t>
      </w:r>
    </w:p>
    <w:p w:rsidR="00071D10" w:rsidRPr="001875B3" w:rsidRDefault="00230DAB" w:rsidP="001875B3">
      <w:pPr>
        <w:contextualSpacing/>
        <w:rPr>
          <w:b/>
          <w:bCs/>
          <w:sz w:val="40"/>
          <w:szCs w:val="40"/>
          <w:rtl/>
        </w:rPr>
      </w:pPr>
      <w:r w:rsidRPr="00545E6A">
        <w:rPr>
          <w:rFonts w:ascii="Arial" w:hAnsi="Arial" w:hint="cs"/>
          <w:b/>
          <w:bCs/>
          <w:sz w:val="40"/>
          <w:szCs w:val="40"/>
          <w:rtl/>
        </w:rPr>
        <w:t xml:space="preserve">פירוט הפעולות שקיים המרכז במהלך שנת </w:t>
      </w:r>
      <w:r w:rsidRPr="00545E6A">
        <w:rPr>
          <w:rFonts w:hint="cs"/>
          <w:b/>
          <w:bCs/>
          <w:sz w:val="40"/>
          <w:szCs w:val="40"/>
          <w:rtl/>
        </w:rPr>
        <w:t>תשע"ה</w:t>
      </w:r>
    </w:p>
    <w:p w:rsidR="00E601F8" w:rsidRPr="00545E6A" w:rsidRDefault="00E601F8" w:rsidP="00071D10">
      <w:pPr>
        <w:contextualSpacing/>
        <w:jc w:val="left"/>
        <w:rPr>
          <w:b/>
          <w:bCs/>
          <w:sz w:val="28"/>
          <w:szCs w:val="28"/>
          <w:rtl/>
        </w:rPr>
      </w:pPr>
      <w:r w:rsidRPr="00545E6A">
        <w:rPr>
          <w:rFonts w:hint="cs"/>
          <w:b/>
          <w:bCs/>
          <w:sz w:val="28"/>
          <w:szCs w:val="28"/>
          <w:rtl/>
        </w:rPr>
        <w:t xml:space="preserve">כנס בינלאומי </w:t>
      </w:r>
      <w:r w:rsidR="00545E6A" w:rsidRPr="00545E6A">
        <w:rPr>
          <w:rFonts w:hint="cs"/>
          <w:b/>
          <w:bCs/>
          <w:sz w:val="28"/>
          <w:szCs w:val="28"/>
          <w:rtl/>
        </w:rPr>
        <w:t xml:space="preserve">בנושא </w:t>
      </w:r>
      <w:r w:rsidR="00545E6A" w:rsidRPr="00545E6A">
        <w:rPr>
          <w:b/>
          <w:bCs/>
          <w:sz w:val="28"/>
          <w:szCs w:val="28"/>
        </w:rPr>
        <w:t>Current Issues around the Globe</w:t>
      </w:r>
    </w:p>
    <w:p w:rsidR="006D1D84" w:rsidRDefault="00545E6A" w:rsidP="006D1D84">
      <w:pPr>
        <w:contextualSpacing/>
        <w:jc w:val="left"/>
      </w:pPr>
      <w:r>
        <w:rPr>
          <w:rFonts w:hint="cs"/>
          <w:sz w:val="24"/>
          <w:szCs w:val="24"/>
          <w:rtl/>
        </w:rPr>
        <w:t xml:space="preserve">בתאריך ה- 9/9/2014 </w:t>
      </w:r>
      <w:r w:rsidR="00085DC8">
        <w:rPr>
          <w:rFonts w:hint="cs"/>
          <w:sz w:val="24"/>
          <w:szCs w:val="24"/>
          <w:rtl/>
        </w:rPr>
        <w:t>נערך במסלול האקדמי המכללה למינהל כנס בו</w:t>
      </w:r>
      <w:r w:rsidR="006D1D84">
        <w:rPr>
          <w:sz w:val="24"/>
          <w:szCs w:val="24"/>
        </w:rPr>
        <w:t xml:space="preserve"> </w:t>
      </w:r>
      <w:r w:rsidR="006D1D84">
        <w:rPr>
          <w:rFonts w:hint="cs"/>
          <w:sz w:val="24"/>
          <w:szCs w:val="24"/>
          <w:rtl/>
        </w:rPr>
        <w:t>לצד חוקרים מישראל</w:t>
      </w:r>
      <w:r w:rsidR="00085DC8">
        <w:rPr>
          <w:rFonts w:hint="cs"/>
          <w:sz w:val="24"/>
          <w:szCs w:val="24"/>
          <w:rtl/>
        </w:rPr>
        <w:t xml:space="preserve"> הרצו- </w:t>
      </w:r>
    </w:p>
    <w:p w:rsidR="006D1D84" w:rsidRPr="00B76F84" w:rsidRDefault="006D1D84" w:rsidP="006D1D84">
      <w:pPr>
        <w:contextualSpacing/>
        <w:jc w:val="right"/>
        <w:rPr>
          <w:rFonts w:ascii="Arial" w:hAnsi="Arial"/>
          <w:sz w:val="24"/>
          <w:szCs w:val="24"/>
        </w:rPr>
      </w:pPr>
      <w:r w:rsidRPr="00B76F84">
        <w:rPr>
          <w:rFonts w:ascii="Arial" w:hAnsi="Arial"/>
          <w:sz w:val="24"/>
          <w:szCs w:val="24"/>
        </w:rPr>
        <w:t xml:space="preserve">Prof. Judith </w:t>
      </w:r>
      <w:proofErr w:type="spellStart"/>
      <w:r w:rsidRPr="00B76F84">
        <w:rPr>
          <w:rFonts w:ascii="Arial" w:hAnsi="Arial"/>
          <w:sz w:val="24"/>
          <w:szCs w:val="24"/>
        </w:rPr>
        <w:t>Gutman</w:t>
      </w:r>
      <w:proofErr w:type="spellEnd"/>
      <w:r w:rsidRPr="00B76F84">
        <w:rPr>
          <w:rFonts w:ascii="Arial" w:hAnsi="Arial"/>
          <w:sz w:val="24"/>
          <w:szCs w:val="24"/>
        </w:rPr>
        <w:t xml:space="preserve">, La </w:t>
      </w:r>
      <w:proofErr w:type="spellStart"/>
      <w:r w:rsidRPr="00B76F84">
        <w:rPr>
          <w:rFonts w:ascii="Arial" w:hAnsi="Arial"/>
          <w:sz w:val="24"/>
          <w:szCs w:val="24"/>
        </w:rPr>
        <w:t>Troube</w:t>
      </w:r>
      <w:proofErr w:type="spellEnd"/>
      <w:r w:rsidRPr="00B76F84">
        <w:rPr>
          <w:rFonts w:ascii="Arial" w:hAnsi="Arial"/>
          <w:sz w:val="24"/>
          <w:szCs w:val="24"/>
        </w:rPr>
        <w:t xml:space="preserve"> University, Australia, Prof. Adam </w:t>
      </w:r>
      <w:proofErr w:type="spellStart"/>
      <w:r w:rsidRPr="00B76F84">
        <w:rPr>
          <w:rFonts w:ascii="Arial" w:hAnsi="Arial"/>
          <w:sz w:val="24"/>
          <w:szCs w:val="24"/>
        </w:rPr>
        <w:t>Dodek</w:t>
      </w:r>
      <w:proofErr w:type="spellEnd"/>
      <w:r w:rsidRPr="00B76F84">
        <w:rPr>
          <w:rFonts w:ascii="Arial" w:hAnsi="Arial"/>
          <w:sz w:val="24"/>
          <w:szCs w:val="24"/>
        </w:rPr>
        <w:t>, University of Ottawa, Canada</w:t>
      </w:r>
    </w:p>
    <w:p w:rsidR="00071D10" w:rsidRDefault="00071D10" w:rsidP="00071D10">
      <w:pPr>
        <w:contextualSpacing/>
        <w:jc w:val="left"/>
        <w:rPr>
          <w:rFonts w:ascii="Arial" w:hAnsi="Arial"/>
          <w:b/>
          <w:bCs/>
          <w:sz w:val="28"/>
          <w:szCs w:val="28"/>
          <w:rtl/>
        </w:rPr>
      </w:pPr>
    </w:p>
    <w:p w:rsidR="00545E6A" w:rsidRPr="00545E6A" w:rsidRDefault="00E601F8" w:rsidP="00071D10">
      <w:pPr>
        <w:contextualSpacing/>
        <w:jc w:val="left"/>
        <w:rPr>
          <w:rFonts w:ascii="Arial" w:hAnsi="Arial"/>
          <w:b/>
          <w:bCs/>
          <w:sz w:val="28"/>
          <w:szCs w:val="28"/>
          <w:rtl/>
        </w:rPr>
      </w:pPr>
      <w:r w:rsidRPr="00545E6A">
        <w:rPr>
          <w:rFonts w:ascii="Arial" w:hAnsi="Arial"/>
          <w:b/>
          <w:bCs/>
          <w:sz w:val="28"/>
          <w:szCs w:val="28"/>
          <w:rtl/>
        </w:rPr>
        <w:t xml:space="preserve">ערב עיון </w:t>
      </w:r>
      <w:r w:rsidR="00545E6A" w:rsidRPr="00545E6A">
        <w:rPr>
          <w:rFonts w:ascii="Arial" w:hAnsi="Arial" w:hint="cs"/>
          <w:b/>
          <w:bCs/>
          <w:sz w:val="28"/>
          <w:szCs w:val="28"/>
          <w:rtl/>
        </w:rPr>
        <w:t xml:space="preserve"> בנושא "סוגיות עכשוויות בדין המשמעתי"</w:t>
      </w:r>
    </w:p>
    <w:p w:rsidR="00545E6A" w:rsidRPr="00545E6A" w:rsidRDefault="00E93018" w:rsidP="00071D10">
      <w:pPr>
        <w:contextualSpacing/>
        <w:jc w:val="lef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בתאריך ה- 4/5/2015 התקיים ערב העיון בבית לשכת עורכי הדין. הערב נערך בשיתוף </w:t>
      </w:r>
      <w:r w:rsidR="00E601F8">
        <w:rPr>
          <w:rFonts w:ascii="Arial" w:hAnsi="Arial"/>
          <w:sz w:val="24"/>
          <w:szCs w:val="24"/>
          <w:rtl/>
        </w:rPr>
        <w:t>עם ועדת האתיקה הארצית</w:t>
      </w:r>
      <w:r w:rsidR="00E601F8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בראשות עו"ד מיכאל </w:t>
      </w:r>
      <w:proofErr w:type="spellStart"/>
      <w:r>
        <w:rPr>
          <w:rFonts w:ascii="Arial" w:hAnsi="Arial" w:hint="cs"/>
          <w:sz w:val="24"/>
          <w:szCs w:val="24"/>
          <w:rtl/>
        </w:rPr>
        <w:t>טאוסיג</w:t>
      </w:r>
      <w:proofErr w:type="spellEnd"/>
      <w:r>
        <w:rPr>
          <w:rFonts w:ascii="Arial" w:hAnsi="Arial" w:hint="cs"/>
          <w:sz w:val="24"/>
          <w:szCs w:val="24"/>
          <w:rtl/>
        </w:rPr>
        <w:t>.</w:t>
      </w:r>
    </w:p>
    <w:p w:rsidR="00071D10" w:rsidRDefault="00071D10" w:rsidP="00071D10">
      <w:pPr>
        <w:contextualSpacing/>
        <w:jc w:val="left"/>
        <w:rPr>
          <w:rFonts w:ascii="Arial" w:hAnsi="Arial"/>
          <w:b/>
          <w:bCs/>
          <w:sz w:val="28"/>
          <w:szCs w:val="28"/>
          <w:rtl/>
        </w:rPr>
      </w:pPr>
    </w:p>
    <w:p w:rsidR="00E601F8" w:rsidRPr="00545E6A" w:rsidRDefault="00545E6A" w:rsidP="00505C96">
      <w:pPr>
        <w:spacing w:line="240" w:lineRule="auto"/>
        <w:contextualSpacing/>
        <w:jc w:val="left"/>
        <w:rPr>
          <w:rFonts w:ascii="Arial" w:hAnsi="Arial"/>
          <w:b/>
          <w:bCs/>
          <w:sz w:val="28"/>
          <w:szCs w:val="28"/>
          <w:rtl/>
        </w:rPr>
      </w:pPr>
      <w:r w:rsidRPr="00545E6A">
        <w:rPr>
          <w:rFonts w:ascii="Arial" w:hAnsi="Arial" w:hint="cs"/>
          <w:b/>
          <w:bCs/>
          <w:sz w:val="28"/>
          <w:szCs w:val="28"/>
          <w:rtl/>
        </w:rPr>
        <w:t xml:space="preserve">הוצאת </w:t>
      </w:r>
      <w:r w:rsidR="00E601F8" w:rsidRPr="00545E6A">
        <w:rPr>
          <w:rFonts w:ascii="Arial" w:hAnsi="Arial"/>
          <w:b/>
          <w:bCs/>
          <w:sz w:val="28"/>
          <w:szCs w:val="28"/>
          <w:rtl/>
        </w:rPr>
        <w:t>הג</w:t>
      </w:r>
      <w:r w:rsidR="00E601F8" w:rsidRPr="00545E6A">
        <w:rPr>
          <w:rFonts w:ascii="Arial" w:hAnsi="Arial" w:hint="cs"/>
          <w:b/>
          <w:bCs/>
          <w:sz w:val="28"/>
          <w:szCs w:val="28"/>
          <w:rtl/>
        </w:rPr>
        <w:t>י</w:t>
      </w:r>
      <w:r w:rsidR="00E601F8" w:rsidRPr="00545E6A">
        <w:rPr>
          <w:rFonts w:ascii="Arial" w:hAnsi="Arial"/>
          <w:b/>
          <w:bCs/>
          <w:sz w:val="28"/>
          <w:szCs w:val="28"/>
          <w:rtl/>
        </w:rPr>
        <w:t>ליון של כתב העת "המשפט"</w:t>
      </w:r>
      <w:r w:rsidR="00E601F8" w:rsidRPr="00545E6A">
        <w:rPr>
          <w:rFonts w:ascii="Arial" w:hAnsi="Arial" w:hint="cs"/>
          <w:b/>
          <w:bCs/>
          <w:sz w:val="28"/>
          <w:szCs w:val="28"/>
          <w:rtl/>
        </w:rPr>
        <w:t xml:space="preserve"> בנושא אתי</w:t>
      </w:r>
      <w:r w:rsidRPr="00545E6A">
        <w:rPr>
          <w:rFonts w:ascii="Arial" w:hAnsi="Arial" w:hint="cs"/>
          <w:b/>
          <w:bCs/>
          <w:sz w:val="28"/>
          <w:szCs w:val="28"/>
          <w:rtl/>
        </w:rPr>
        <w:t>קה ואחריות מקצועית של עורכי דין</w:t>
      </w:r>
    </w:p>
    <w:p w:rsidR="00E601F8" w:rsidRDefault="00E601F8" w:rsidP="00071D10">
      <w:pPr>
        <w:spacing w:line="360" w:lineRule="auto"/>
        <w:contextualSpacing/>
        <w:jc w:val="left"/>
        <w:rPr>
          <w:rFonts w:asciiTheme="minorBidi" w:hAnsiTheme="minorBidi"/>
          <w:sz w:val="24"/>
          <w:szCs w:val="24"/>
          <w:rtl/>
        </w:rPr>
      </w:pPr>
      <w:r w:rsidRPr="00B30086">
        <w:rPr>
          <w:rFonts w:asciiTheme="minorBidi" w:hAnsiTheme="minorBidi"/>
          <w:sz w:val="24"/>
          <w:szCs w:val="24"/>
          <w:rtl/>
        </w:rPr>
        <w:t>המרכז יזם ושותף בהפקת גיליון מיוחד ש</w:t>
      </w:r>
      <w:r>
        <w:rPr>
          <w:rFonts w:asciiTheme="minorBidi" w:hAnsiTheme="minorBidi"/>
          <w:sz w:val="24"/>
          <w:szCs w:val="24"/>
          <w:rtl/>
        </w:rPr>
        <w:t xml:space="preserve">ל כתב העת המשפטי "המשפט" בנושא </w:t>
      </w:r>
      <w:r>
        <w:rPr>
          <w:rFonts w:asciiTheme="minorBidi" w:hAnsiTheme="minorBidi" w:hint="cs"/>
          <w:sz w:val="24"/>
          <w:szCs w:val="24"/>
          <w:rtl/>
        </w:rPr>
        <w:t>זה</w:t>
      </w:r>
      <w:r w:rsidRPr="00B30086">
        <w:rPr>
          <w:rFonts w:asciiTheme="minorBidi" w:hAnsiTheme="minorBidi"/>
          <w:sz w:val="24"/>
          <w:szCs w:val="24"/>
          <w:rtl/>
        </w:rPr>
        <w:t xml:space="preserve"> שראה אור בחודש </w:t>
      </w:r>
      <w:r>
        <w:rPr>
          <w:rFonts w:asciiTheme="minorBidi" w:hAnsiTheme="minorBidi" w:hint="cs"/>
          <w:sz w:val="24"/>
          <w:szCs w:val="24"/>
          <w:rtl/>
        </w:rPr>
        <w:t>פברואר 201</w:t>
      </w:r>
      <w:r w:rsidR="00707DA1">
        <w:rPr>
          <w:rFonts w:asciiTheme="minorBidi" w:hAnsiTheme="minorBidi" w:hint="cs"/>
          <w:sz w:val="24"/>
          <w:szCs w:val="24"/>
          <w:rtl/>
        </w:rPr>
        <w:t>5</w:t>
      </w:r>
      <w:r>
        <w:rPr>
          <w:rFonts w:asciiTheme="minorBidi" w:hAnsiTheme="minorBidi" w:hint="cs"/>
          <w:sz w:val="24"/>
          <w:szCs w:val="24"/>
          <w:rtl/>
        </w:rPr>
        <w:t>. הגיליון המיוחד כולל עשרה מאמרים חדשים של טובי החוקרים בארץ בתחום.</w:t>
      </w:r>
    </w:p>
    <w:p w:rsidR="00545E6A" w:rsidRDefault="00545E6A" w:rsidP="00071D10">
      <w:pPr>
        <w:spacing w:line="360" w:lineRule="auto"/>
        <w:contextualSpacing/>
        <w:jc w:val="left"/>
        <w:rPr>
          <w:rFonts w:asciiTheme="minorBidi" w:hAnsiTheme="minorBidi"/>
          <w:sz w:val="24"/>
          <w:szCs w:val="24"/>
          <w:rtl/>
        </w:rPr>
      </w:pPr>
    </w:p>
    <w:p w:rsidR="001875B3" w:rsidRDefault="001875B3" w:rsidP="001875B3">
      <w:pPr>
        <w:contextualSpacing/>
        <w:jc w:val="left"/>
        <w:rPr>
          <w:rFonts w:ascii="Arial" w:hAnsi="Arial"/>
          <w:b/>
          <w:bCs/>
          <w:sz w:val="28"/>
          <w:szCs w:val="28"/>
          <w:rtl/>
        </w:rPr>
      </w:pPr>
    </w:p>
    <w:p w:rsidR="001875B3" w:rsidRDefault="00545E6A" w:rsidP="00505C96">
      <w:pPr>
        <w:spacing w:line="240" w:lineRule="auto"/>
        <w:contextualSpacing/>
        <w:jc w:val="left"/>
        <w:rPr>
          <w:b/>
          <w:bCs/>
          <w:sz w:val="24"/>
          <w:szCs w:val="24"/>
          <w:rtl/>
        </w:rPr>
      </w:pPr>
      <w:r w:rsidRPr="00545E6A">
        <w:rPr>
          <w:rFonts w:ascii="Arial" w:hAnsi="Arial" w:hint="cs"/>
          <w:b/>
          <w:bCs/>
          <w:sz w:val="28"/>
          <w:szCs w:val="28"/>
          <w:rtl/>
        </w:rPr>
        <w:t xml:space="preserve">עריכת </w:t>
      </w:r>
      <w:r w:rsidRPr="00545E6A">
        <w:rPr>
          <w:rFonts w:hint="cs"/>
          <w:b/>
          <w:bCs/>
          <w:sz w:val="28"/>
          <w:szCs w:val="28"/>
          <w:rtl/>
        </w:rPr>
        <w:t xml:space="preserve">השתלמות לכל עובדי גוף הביקורת על מערך התביעה ומייצגי המדינה בערכאות </w:t>
      </w:r>
      <w:r w:rsidRPr="00FD13CA">
        <w:rPr>
          <w:rFonts w:hint="cs"/>
          <w:b/>
          <w:bCs/>
          <w:sz w:val="28"/>
          <w:szCs w:val="28"/>
          <w:rtl/>
        </w:rPr>
        <w:t xml:space="preserve">השונות </w:t>
      </w:r>
      <w:r w:rsidR="00302822" w:rsidRPr="00FD13CA">
        <w:rPr>
          <w:rFonts w:hint="cs"/>
          <w:b/>
          <w:bCs/>
          <w:sz w:val="28"/>
          <w:szCs w:val="28"/>
          <w:rtl/>
        </w:rPr>
        <w:t>(</w:t>
      </w:r>
      <w:proofErr w:type="spellStart"/>
      <w:r w:rsidR="00302822" w:rsidRPr="00FD13CA">
        <w:rPr>
          <w:rFonts w:hint="cs"/>
          <w:b/>
          <w:bCs/>
          <w:sz w:val="28"/>
          <w:szCs w:val="28"/>
          <w:rtl/>
        </w:rPr>
        <w:t>נבת"ם</w:t>
      </w:r>
      <w:proofErr w:type="spellEnd"/>
      <w:r w:rsidR="00302822" w:rsidRPr="00FD13CA">
        <w:rPr>
          <w:rFonts w:hint="cs"/>
          <w:b/>
          <w:bCs/>
          <w:sz w:val="28"/>
          <w:szCs w:val="28"/>
          <w:rtl/>
        </w:rPr>
        <w:t>)</w:t>
      </w:r>
    </w:p>
    <w:p w:rsidR="00545E6A" w:rsidRPr="001875B3" w:rsidRDefault="00302822" w:rsidP="001875B3">
      <w:pPr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בתאריך ה- 31/5  קיים המרכז לאתיקה יום השתלמות לכל עובדי מערך הביקורת </w:t>
      </w:r>
      <w:r w:rsidR="00545E6A" w:rsidRPr="00164731">
        <w:rPr>
          <w:rFonts w:hint="cs"/>
          <w:sz w:val="24"/>
          <w:szCs w:val="24"/>
          <w:rtl/>
        </w:rPr>
        <w:t xml:space="preserve">בראשות הילה </w:t>
      </w:r>
      <w:proofErr w:type="spellStart"/>
      <w:r w:rsidR="00545E6A" w:rsidRPr="00164731">
        <w:rPr>
          <w:rFonts w:hint="cs"/>
          <w:sz w:val="24"/>
          <w:szCs w:val="24"/>
          <w:rtl/>
        </w:rPr>
        <w:t>גרסטל</w:t>
      </w:r>
      <w:proofErr w:type="spellEnd"/>
      <w:r w:rsidR="00545E6A" w:rsidRPr="00164731">
        <w:rPr>
          <w:rFonts w:hint="cs"/>
          <w:sz w:val="24"/>
          <w:szCs w:val="24"/>
          <w:rtl/>
        </w:rPr>
        <w:t xml:space="preserve"> (</w:t>
      </w:r>
      <w:proofErr w:type="spellStart"/>
      <w:r w:rsidR="00545E6A" w:rsidRPr="00164731">
        <w:rPr>
          <w:rFonts w:hint="cs"/>
          <w:sz w:val="24"/>
          <w:szCs w:val="24"/>
          <w:rtl/>
        </w:rPr>
        <w:t>נבת"ם</w:t>
      </w:r>
      <w:proofErr w:type="spellEnd"/>
      <w:r w:rsidR="00545E6A" w:rsidRPr="00164731">
        <w:rPr>
          <w:rFonts w:hint="cs"/>
          <w:sz w:val="24"/>
          <w:szCs w:val="24"/>
          <w:rtl/>
        </w:rPr>
        <w:t>). נושא ההשתלמות שארכה יום מלא היה אתיקה וקודים אתים</w:t>
      </w:r>
      <w:r w:rsidR="00545E6A">
        <w:rPr>
          <w:rFonts w:hint="cs"/>
          <w:sz w:val="24"/>
          <w:szCs w:val="24"/>
          <w:rtl/>
        </w:rPr>
        <w:t>.</w:t>
      </w:r>
      <w:r w:rsidR="00545E6A" w:rsidRPr="00164731">
        <w:rPr>
          <w:rFonts w:hint="cs"/>
          <w:sz w:val="24"/>
          <w:szCs w:val="24"/>
          <w:rtl/>
        </w:rPr>
        <w:t xml:space="preserve"> </w:t>
      </w:r>
    </w:p>
    <w:p w:rsidR="00545E6A" w:rsidRDefault="00545E6A" w:rsidP="00071D10">
      <w:pPr>
        <w:spacing w:line="360" w:lineRule="auto"/>
        <w:contextualSpacing/>
        <w:jc w:val="left"/>
        <w:rPr>
          <w:rFonts w:asciiTheme="minorBidi" w:hAnsiTheme="minorBidi"/>
          <w:sz w:val="24"/>
          <w:szCs w:val="24"/>
          <w:rtl/>
        </w:rPr>
      </w:pPr>
    </w:p>
    <w:p w:rsidR="00545E6A" w:rsidRPr="00545E6A" w:rsidRDefault="00545E6A" w:rsidP="00071D10">
      <w:pPr>
        <w:spacing w:line="360" w:lineRule="auto"/>
        <w:contextualSpacing/>
        <w:jc w:val="left"/>
        <w:rPr>
          <w:rFonts w:asciiTheme="minorBidi" w:hAnsiTheme="minorBidi"/>
          <w:b/>
          <w:bCs/>
          <w:sz w:val="28"/>
          <w:szCs w:val="28"/>
          <w:rtl/>
        </w:rPr>
      </w:pPr>
      <w:r w:rsidRPr="00545E6A">
        <w:rPr>
          <w:rFonts w:asciiTheme="minorBidi" w:hAnsiTheme="minorBidi" w:hint="cs"/>
          <w:b/>
          <w:bCs/>
          <w:sz w:val="28"/>
          <w:szCs w:val="28"/>
          <w:rtl/>
        </w:rPr>
        <w:t>קול קורא למענקי מחקר</w:t>
      </w:r>
    </w:p>
    <w:p w:rsidR="00545E6A" w:rsidRDefault="00545E6A" w:rsidP="00071D10">
      <w:pPr>
        <w:spacing w:line="360" w:lineRule="auto"/>
        <w:contextualSpacing/>
        <w:jc w:val="lef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לאחר פרסום קול קורא במהלך חודש אפריל 2015. בחרה הועדה האקדמית של המרכז לאתיקה בשתי הצעות מצטיינות אשר יזכו כל אחת במענק בס</w:t>
      </w:r>
      <w:r w:rsidR="00AE45C5">
        <w:rPr>
          <w:rFonts w:ascii="Arial" w:hAnsi="Arial" w:hint="cs"/>
          <w:sz w:val="24"/>
          <w:szCs w:val="24"/>
          <w:rtl/>
        </w:rPr>
        <w:t>ך 5000 ₪. בפועל רק הצעה אחת זכתה</w:t>
      </w:r>
      <w:r>
        <w:rPr>
          <w:rFonts w:ascii="Arial" w:hAnsi="Arial" w:hint="cs"/>
          <w:sz w:val="24"/>
          <w:szCs w:val="24"/>
          <w:rtl/>
        </w:rPr>
        <w:t xml:space="preserve"> במענק המחקר.</w:t>
      </w:r>
    </w:p>
    <w:p w:rsidR="00545E6A" w:rsidRDefault="00545E6A" w:rsidP="00CC658A">
      <w:pPr>
        <w:ind w:right="360"/>
        <w:contextualSpacing/>
        <w:jc w:val="lef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1. ד"ר שמעון בלום "פרשת אירועי ואדי </w:t>
      </w:r>
      <w:proofErr w:type="spellStart"/>
      <w:r>
        <w:rPr>
          <w:rFonts w:ascii="Arial" w:hAnsi="Arial" w:hint="cs"/>
          <w:sz w:val="24"/>
          <w:szCs w:val="24"/>
          <w:rtl/>
        </w:rPr>
        <w:t>סאליב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ועריכת דין ציבורית פוליטית"- </w:t>
      </w:r>
      <w:r w:rsidR="00CC658A">
        <w:rPr>
          <w:rFonts w:ascii="Arial" w:hAnsi="Arial" w:hint="cs"/>
          <w:sz w:val="24"/>
          <w:szCs w:val="24"/>
          <w:rtl/>
        </w:rPr>
        <w:t xml:space="preserve"> נבחר אך בהמשך </w:t>
      </w:r>
      <w:r>
        <w:rPr>
          <w:rFonts w:ascii="Arial" w:hAnsi="Arial" w:hint="cs"/>
          <w:sz w:val="24"/>
          <w:szCs w:val="24"/>
          <w:rtl/>
        </w:rPr>
        <w:t xml:space="preserve">לא עמד בתנאים </w:t>
      </w:r>
      <w:r w:rsidR="00CC658A">
        <w:rPr>
          <w:rFonts w:ascii="Arial" w:hAnsi="Arial" w:hint="cs"/>
          <w:sz w:val="24"/>
          <w:szCs w:val="24"/>
          <w:rtl/>
        </w:rPr>
        <w:t>שהציבה הועדה האקדמית של המרכז ולכן לא זכה במענק.</w:t>
      </w:r>
    </w:p>
    <w:p w:rsidR="00545E6A" w:rsidRDefault="00545E6A" w:rsidP="00071D10">
      <w:pPr>
        <w:ind w:right="360"/>
        <w:contextualSpacing/>
        <w:jc w:val="lef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2.  </w:t>
      </w:r>
      <w:proofErr w:type="spellStart"/>
      <w:r>
        <w:rPr>
          <w:rFonts w:ascii="Arial" w:hAnsi="Arial" w:hint="cs"/>
          <w:sz w:val="24"/>
          <w:szCs w:val="24"/>
          <w:rtl/>
        </w:rPr>
        <w:t>עו"הד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עופר סיטבון, מורן הררי וחגי אלקלעי, "החובות האתיות של עורכי דין בנוגע למעורבותם בתכנוני מס אגרסיביים"</w:t>
      </w:r>
      <w:r w:rsidR="00AE45C5">
        <w:rPr>
          <w:rFonts w:ascii="Arial" w:hAnsi="Arial" w:hint="cs"/>
          <w:sz w:val="24"/>
          <w:szCs w:val="24"/>
          <w:rtl/>
        </w:rPr>
        <w:t xml:space="preserve"> קבלו את המחצית הראשונה של המחקר. מחצית שנייה תינתן עם קבלת טיוטה של המחקר.</w:t>
      </w:r>
      <w:r w:rsidR="001875B3">
        <w:rPr>
          <w:rFonts w:ascii="Arial" w:hAnsi="Arial" w:hint="cs"/>
          <w:sz w:val="24"/>
          <w:szCs w:val="24"/>
          <w:rtl/>
        </w:rPr>
        <w:t xml:space="preserve"> טרם התקבלה טיוטה.</w:t>
      </w:r>
    </w:p>
    <w:p w:rsidR="00545E6A" w:rsidRDefault="00545E6A" w:rsidP="00071D10">
      <w:pPr>
        <w:spacing w:line="360" w:lineRule="auto"/>
        <w:contextualSpacing/>
        <w:jc w:val="left"/>
        <w:rPr>
          <w:rFonts w:ascii="Arial" w:hAnsi="Arial"/>
          <w:sz w:val="24"/>
          <w:szCs w:val="24"/>
          <w:rtl/>
        </w:rPr>
      </w:pPr>
    </w:p>
    <w:p w:rsidR="0015451B" w:rsidRPr="0015451B" w:rsidRDefault="0015451B" w:rsidP="00071D10">
      <w:pPr>
        <w:spacing w:line="360" w:lineRule="auto"/>
        <w:contextualSpacing/>
        <w:jc w:val="left"/>
        <w:rPr>
          <w:rFonts w:ascii="Arial" w:hAnsi="Arial"/>
          <w:b/>
          <w:bCs/>
          <w:sz w:val="28"/>
          <w:szCs w:val="28"/>
          <w:rtl/>
        </w:rPr>
      </w:pPr>
      <w:r w:rsidRPr="0015451B">
        <w:rPr>
          <w:rFonts w:ascii="Arial" w:hAnsi="Arial" w:hint="cs"/>
          <w:b/>
          <w:bCs/>
          <w:sz w:val="28"/>
          <w:szCs w:val="28"/>
          <w:rtl/>
        </w:rPr>
        <w:t>במהלך השנה החולפת התפרס</w:t>
      </w:r>
      <w:r w:rsidR="00C111DD">
        <w:rPr>
          <w:rFonts w:ascii="Arial" w:hAnsi="Arial" w:hint="cs"/>
          <w:b/>
          <w:bCs/>
          <w:sz w:val="28"/>
          <w:szCs w:val="28"/>
          <w:rtl/>
        </w:rPr>
        <w:t>מ</w:t>
      </w:r>
      <w:r w:rsidRPr="0015451B">
        <w:rPr>
          <w:rFonts w:ascii="Arial" w:hAnsi="Arial" w:hint="cs"/>
          <w:b/>
          <w:bCs/>
          <w:sz w:val="28"/>
          <w:szCs w:val="28"/>
          <w:rtl/>
        </w:rPr>
        <w:t>ו מחקרים שזכו למענק מחקר מהמרכז</w:t>
      </w:r>
    </w:p>
    <w:p w:rsidR="0015451B" w:rsidRPr="008E2BB6" w:rsidRDefault="0015451B" w:rsidP="00B83BBD">
      <w:pPr>
        <w:pStyle w:val="a3"/>
        <w:spacing w:line="480" w:lineRule="auto"/>
        <w:jc w:val="right"/>
        <w:rPr>
          <w:sz w:val="24"/>
          <w:szCs w:val="24"/>
          <w:rtl/>
        </w:rPr>
      </w:pPr>
      <w:r w:rsidRPr="008E2BB6">
        <w:rPr>
          <w:rFonts w:hint="cs"/>
          <w:sz w:val="24"/>
          <w:szCs w:val="24"/>
          <w:rtl/>
        </w:rPr>
        <w:t xml:space="preserve">1. ד"ר אלעד רום, </w:t>
      </w:r>
      <w:r w:rsidRPr="008E2BB6">
        <w:rPr>
          <w:rFonts w:hint="cs"/>
          <w:b/>
          <w:bCs/>
          <w:sz w:val="24"/>
          <w:szCs w:val="24"/>
          <w:rtl/>
        </w:rPr>
        <w:t>הסתמכות במשפט הפלילי</w:t>
      </w:r>
      <w:r w:rsidRPr="008E2BB6">
        <w:rPr>
          <w:rFonts w:hint="cs"/>
          <w:sz w:val="24"/>
          <w:szCs w:val="24"/>
          <w:rtl/>
        </w:rPr>
        <w:t>, הוצאת נבו</w:t>
      </w:r>
    </w:p>
    <w:p w:rsidR="0015451B" w:rsidRPr="008E2BB6" w:rsidRDefault="0015451B" w:rsidP="00B83BBD">
      <w:pPr>
        <w:pStyle w:val="a3"/>
        <w:spacing w:line="480" w:lineRule="auto"/>
        <w:jc w:val="right"/>
        <w:rPr>
          <w:sz w:val="24"/>
          <w:szCs w:val="24"/>
          <w:rtl/>
        </w:rPr>
      </w:pPr>
      <w:r w:rsidRPr="008E2BB6">
        <w:rPr>
          <w:rFonts w:hint="cs"/>
          <w:sz w:val="24"/>
          <w:szCs w:val="24"/>
          <w:rtl/>
        </w:rPr>
        <w:t xml:space="preserve">2. פרופ' חמי בן-נון, ד"ר אייל כתבן וד"ר בועז שנור "תיקון אולם: התנהגויות מכבידות וכבוד בית המשפט" </w:t>
      </w:r>
      <w:r w:rsidRPr="008E2BB6">
        <w:rPr>
          <w:rFonts w:hint="cs"/>
          <w:b/>
          <w:bCs/>
          <w:sz w:val="24"/>
          <w:szCs w:val="24"/>
          <w:rtl/>
        </w:rPr>
        <w:t>המשפט</w:t>
      </w:r>
      <w:r w:rsidRPr="008E2BB6">
        <w:rPr>
          <w:rFonts w:hint="cs"/>
          <w:sz w:val="24"/>
          <w:szCs w:val="24"/>
          <w:rtl/>
        </w:rPr>
        <w:t xml:space="preserve"> כ עמ' 11.  </w:t>
      </w:r>
    </w:p>
    <w:p w:rsidR="0015451B" w:rsidRPr="0030361E" w:rsidRDefault="0015451B" w:rsidP="0030361E">
      <w:pPr>
        <w:pStyle w:val="a3"/>
        <w:spacing w:line="480" w:lineRule="auto"/>
        <w:jc w:val="right"/>
        <w:rPr>
          <w:sz w:val="24"/>
          <w:szCs w:val="24"/>
          <w:rtl/>
        </w:rPr>
      </w:pPr>
      <w:r w:rsidRPr="008E2BB6">
        <w:rPr>
          <w:rFonts w:hint="cs"/>
          <w:sz w:val="24"/>
          <w:szCs w:val="24"/>
          <w:rtl/>
        </w:rPr>
        <w:t xml:space="preserve">3. ד"ר מיכל עופר-צפוני "מידת התערבות בתי המשפט בפסיקת בתי הדין המשמעתיים בלשכה" </w:t>
      </w:r>
      <w:r w:rsidRPr="008E2BB6">
        <w:rPr>
          <w:rFonts w:hint="cs"/>
          <w:b/>
          <w:bCs/>
          <w:sz w:val="24"/>
          <w:szCs w:val="24"/>
          <w:rtl/>
        </w:rPr>
        <w:t xml:space="preserve">המשפט </w:t>
      </w:r>
      <w:r w:rsidRPr="008E2BB6">
        <w:rPr>
          <w:rFonts w:hint="cs"/>
          <w:sz w:val="24"/>
          <w:szCs w:val="24"/>
          <w:rtl/>
        </w:rPr>
        <w:t>כ 101.</w:t>
      </w:r>
    </w:p>
    <w:p w:rsidR="00E601F8" w:rsidRPr="0015451B" w:rsidRDefault="00E601F8" w:rsidP="00071D10">
      <w:pPr>
        <w:spacing w:line="360" w:lineRule="auto"/>
        <w:contextualSpacing/>
        <w:jc w:val="left"/>
        <w:rPr>
          <w:b/>
          <w:bCs/>
          <w:sz w:val="28"/>
          <w:szCs w:val="28"/>
          <w:rtl/>
        </w:rPr>
      </w:pPr>
      <w:r w:rsidRPr="0015451B">
        <w:rPr>
          <w:rFonts w:ascii="Arial" w:hAnsi="Arial" w:hint="cs"/>
          <w:b/>
          <w:bCs/>
          <w:sz w:val="28"/>
          <w:szCs w:val="28"/>
          <w:rtl/>
        </w:rPr>
        <w:t>הרצאת אורח לסטודנטים</w:t>
      </w:r>
    </w:p>
    <w:p w:rsidR="00E601F8" w:rsidRPr="00223F42" w:rsidRDefault="00E601F8" w:rsidP="00071D10">
      <w:pPr>
        <w:spacing w:line="360" w:lineRule="auto"/>
        <w:contextualSpacing/>
        <w:jc w:val="lef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rtl/>
        </w:rPr>
        <w:t xml:space="preserve"> </w:t>
      </w:r>
      <w:r w:rsidRPr="00D50048">
        <w:rPr>
          <w:rFonts w:ascii="Arial" w:hAnsi="Arial" w:hint="cs"/>
          <w:sz w:val="24"/>
          <w:szCs w:val="24"/>
          <w:rtl/>
        </w:rPr>
        <w:t>כבוד השופט מנחם קליין</w:t>
      </w:r>
      <w:r>
        <w:rPr>
          <w:rFonts w:ascii="Arial" w:hAnsi="Arial" w:hint="cs"/>
          <w:sz w:val="24"/>
          <w:szCs w:val="24"/>
          <w:rtl/>
        </w:rPr>
        <w:t xml:space="preserve"> מבית משפט השלום בתל-אביב</w:t>
      </w:r>
      <w:r w:rsidRPr="00D50048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הרצה בפני הסטודנטים במכללה למינהל </w:t>
      </w:r>
      <w:r w:rsidRPr="00D50048">
        <w:rPr>
          <w:rFonts w:ascii="Arial" w:hAnsi="Arial" w:hint="cs"/>
          <w:sz w:val="24"/>
          <w:szCs w:val="24"/>
          <w:rtl/>
        </w:rPr>
        <w:t xml:space="preserve">בנושא "התנהגות אתית של עורך דין באולם בית המשפט." </w:t>
      </w:r>
    </w:p>
    <w:p w:rsidR="00071D10" w:rsidRDefault="00071D10" w:rsidP="00071D10">
      <w:pPr>
        <w:spacing w:line="360" w:lineRule="auto"/>
        <w:contextualSpacing/>
        <w:rPr>
          <w:rFonts w:ascii="Arial" w:hAnsi="Arial"/>
          <w:b/>
          <w:bCs/>
          <w:sz w:val="28"/>
          <w:szCs w:val="28"/>
          <w:rtl/>
        </w:rPr>
      </w:pPr>
    </w:p>
    <w:p w:rsidR="008E7D68" w:rsidRPr="00BE461B" w:rsidRDefault="008E7D68" w:rsidP="00071D10">
      <w:pPr>
        <w:spacing w:line="360" w:lineRule="auto"/>
        <w:contextualSpacing/>
        <w:rPr>
          <w:rFonts w:ascii="Arial" w:hAnsi="Arial"/>
          <w:b/>
          <w:bCs/>
          <w:sz w:val="28"/>
          <w:szCs w:val="28"/>
          <w:rtl/>
        </w:rPr>
      </w:pPr>
      <w:r w:rsidRPr="00BE461B">
        <w:rPr>
          <w:rFonts w:ascii="Arial" w:hAnsi="Arial" w:hint="cs"/>
          <w:b/>
          <w:bCs/>
          <w:sz w:val="28"/>
          <w:szCs w:val="28"/>
          <w:rtl/>
        </w:rPr>
        <w:t>המשך פיתוח אתר האינטרנט של המרכז</w:t>
      </w:r>
    </w:p>
    <w:p w:rsidR="00505C96" w:rsidRPr="0030361E" w:rsidRDefault="002812B2" w:rsidP="0030361E">
      <w:pPr>
        <w:spacing w:line="360" w:lineRule="auto"/>
        <w:contextualSpacing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אתר האינטרנט של המרכז כולל מאגר מידע שהוא פלטפורמה מחקרית ממנה יכולים</w:t>
      </w:r>
      <w:r w:rsidRPr="00FE5948">
        <w:rPr>
          <w:rFonts w:ascii="Arial" w:hAnsi="Arial" w:hint="cs"/>
          <w:sz w:val="24"/>
          <w:szCs w:val="24"/>
          <w:rtl/>
        </w:rPr>
        <w:t xml:space="preserve"> סטודנטים, עורכי דין וחוקרים לשאוב מידע המסודר לפי מפתחות עניינים מקצועיים</w:t>
      </w:r>
      <w:r>
        <w:rPr>
          <w:rFonts w:ascii="Arial" w:hAnsi="Arial" w:hint="cs"/>
          <w:sz w:val="24"/>
          <w:szCs w:val="24"/>
          <w:rtl/>
        </w:rPr>
        <w:t>. אתר האינטרנט גם כולל קישור לע</w:t>
      </w:r>
      <w:r w:rsidR="00AE45C5">
        <w:rPr>
          <w:rFonts w:ascii="Arial" w:hAnsi="Arial" w:hint="cs"/>
          <w:sz w:val="24"/>
          <w:szCs w:val="24"/>
          <w:rtl/>
        </w:rPr>
        <w:t xml:space="preserve">רוץ </w:t>
      </w:r>
      <w:proofErr w:type="spellStart"/>
      <w:r w:rsidR="00AE45C5">
        <w:rPr>
          <w:rFonts w:ascii="Arial" w:hAnsi="Arial" w:hint="cs"/>
          <w:sz w:val="24"/>
          <w:szCs w:val="24"/>
          <w:rtl/>
        </w:rPr>
        <w:t>יוטיוב</w:t>
      </w:r>
      <w:proofErr w:type="spellEnd"/>
      <w:r w:rsidR="00AE45C5">
        <w:rPr>
          <w:rFonts w:ascii="Arial" w:hAnsi="Arial" w:hint="cs"/>
          <w:sz w:val="24"/>
          <w:szCs w:val="24"/>
          <w:rtl/>
        </w:rPr>
        <w:t xml:space="preserve"> של המרכז אליו מועלות ההרצאות המצולמות בווידאו בכנסי המרכז. הגישה לסרטונים מתאפשרת דרך מילות חיפוש </w:t>
      </w:r>
      <w:proofErr w:type="spellStart"/>
      <w:r w:rsidR="00AE45C5">
        <w:rPr>
          <w:rFonts w:ascii="Arial" w:hAnsi="Arial" w:hint="cs"/>
          <w:sz w:val="24"/>
          <w:szCs w:val="24"/>
          <w:rtl/>
        </w:rPr>
        <w:t>ביוטיוב</w:t>
      </w:r>
      <w:proofErr w:type="spellEnd"/>
      <w:r w:rsidR="00AE45C5">
        <w:rPr>
          <w:rFonts w:ascii="Arial" w:hAnsi="Arial" w:hint="cs"/>
          <w:sz w:val="24"/>
          <w:szCs w:val="24"/>
          <w:rtl/>
        </w:rPr>
        <w:t>, דרך האתר עצמו וגם דרך מאגר המידע הואיל וההרצאות משובצות לפי נושאיהם בתוך מפתח הנושאים של מאגר המידע.</w:t>
      </w:r>
    </w:p>
    <w:p w:rsidR="00230DAB" w:rsidRDefault="008E7D68" w:rsidP="00071D10">
      <w:pPr>
        <w:contextualSpacing/>
        <w:rPr>
          <w:b/>
          <w:bCs/>
          <w:sz w:val="28"/>
          <w:szCs w:val="28"/>
          <w:rtl/>
        </w:rPr>
      </w:pPr>
      <w:r w:rsidRPr="008E7D68">
        <w:rPr>
          <w:rFonts w:hint="cs"/>
          <w:b/>
          <w:bCs/>
          <w:sz w:val="28"/>
          <w:szCs w:val="28"/>
          <w:rtl/>
        </w:rPr>
        <w:lastRenderedPageBreak/>
        <w:t xml:space="preserve">המשך העבודה על </w:t>
      </w:r>
      <w:r w:rsidR="0089544D">
        <w:rPr>
          <w:rFonts w:hint="cs"/>
          <w:b/>
          <w:bCs/>
          <w:sz w:val="28"/>
          <w:szCs w:val="28"/>
          <w:rtl/>
        </w:rPr>
        <w:t>נייר העמדה ו</w:t>
      </w:r>
      <w:r w:rsidRPr="008E7D68">
        <w:rPr>
          <w:rFonts w:hint="cs"/>
          <w:b/>
          <w:bCs/>
          <w:sz w:val="28"/>
          <w:szCs w:val="28"/>
          <w:rtl/>
        </w:rPr>
        <w:t>הקוד האתי לייצוג אנשים בעלי מוגבלויות נפשיות</w:t>
      </w:r>
    </w:p>
    <w:p w:rsidR="00F11556" w:rsidRPr="0089544D" w:rsidRDefault="0089544D" w:rsidP="001875B3">
      <w:pPr>
        <w:contextualSpacing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נייר העמ</w:t>
      </w:r>
      <w:r w:rsidR="004A4750">
        <w:rPr>
          <w:rFonts w:hint="cs"/>
          <w:sz w:val="24"/>
          <w:szCs w:val="24"/>
          <w:rtl/>
        </w:rPr>
        <w:t>דה והקוד האתי שיהיה חלק ממנו הוא</w:t>
      </w:r>
      <w:r>
        <w:rPr>
          <w:rFonts w:hint="cs"/>
          <w:sz w:val="24"/>
          <w:szCs w:val="24"/>
          <w:rtl/>
        </w:rPr>
        <w:t xml:space="preserve"> פרויקט ארוך טווח של המרכז המבוצע החל משנה זו בשיתוף עם הסניגוריה הציבורית הארצית. את נייר העמדה והקוד כותבת עבור המרכז עו"ד דנה </w:t>
      </w:r>
      <w:proofErr w:type="spellStart"/>
      <w:r>
        <w:rPr>
          <w:rFonts w:hint="cs"/>
          <w:sz w:val="24"/>
          <w:szCs w:val="24"/>
          <w:rtl/>
        </w:rPr>
        <w:t>מירטנבאום</w:t>
      </w:r>
      <w:proofErr w:type="spellEnd"/>
      <w:r>
        <w:rPr>
          <w:rFonts w:hint="cs"/>
          <w:sz w:val="24"/>
          <w:szCs w:val="24"/>
          <w:rtl/>
        </w:rPr>
        <w:t>. מלוות אותה ד"ר זר-גוטמן ופרופ' נטע זיו. מטעם הסניגוריה הצ</w:t>
      </w:r>
      <w:r w:rsidR="001875B3">
        <w:rPr>
          <w:rFonts w:hint="cs"/>
          <w:sz w:val="24"/>
          <w:szCs w:val="24"/>
          <w:rtl/>
        </w:rPr>
        <w:t>יבורית שותפים עו"ד דורית נחמני ועו"ד אלקנה ליסט.</w:t>
      </w:r>
    </w:p>
    <w:p w:rsidR="0089544D" w:rsidRDefault="0089544D" w:rsidP="00071D10">
      <w:pPr>
        <w:contextualSpacing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505C96" w:rsidRDefault="00505C96" w:rsidP="00071D10">
      <w:pPr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הגשת בקשה לפי חוק חופש המידע ללשכת עורכי הדין לעניין פסיקה משמעתית</w:t>
      </w:r>
    </w:p>
    <w:p w:rsidR="00B83BBD" w:rsidRPr="00B83BBD" w:rsidRDefault="00505C96" w:rsidP="00071D10">
      <w:pPr>
        <w:contextualSpacing/>
        <w:rPr>
          <w:sz w:val="24"/>
          <w:szCs w:val="24"/>
          <w:rtl/>
        </w:rPr>
      </w:pPr>
      <w:r w:rsidRPr="00B83BBD">
        <w:rPr>
          <w:rFonts w:hint="cs"/>
          <w:sz w:val="24"/>
          <w:szCs w:val="24"/>
          <w:rtl/>
        </w:rPr>
        <w:t xml:space="preserve">בחודש אוקטובר 2014 הוגשה ללשכת עורכי הדין-ועד מרכזי וכל </w:t>
      </w:r>
      <w:r w:rsidR="00B83BBD" w:rsidRPr="00B83BBD">
        <w:rPr>
          <w:rFonts w:hint="cs"/>
          <w:sz w:val="24"/>
          <w:szCs w:val="24"/>
          <w:rtl/>
        </w:rPr>
        <w:t xml:space="preserve">אחד מחמש המחוזות בקשת חופש מידע. </w:t>
      </w:r>
    </w:p>
    <w:p w:rsidR="00505C96" w:rsidRPr="00B83BBD" w:rsidRDefault="00B83BBD" w:rsidP="00B83BBD">
      <w:pPr>
        <w:contextualSpacing/>
        <w:rPr>
          <w:sz w:val="24"/>
          <w:szCs w:val="24"/>
          <w:rtl/>
        </w:rPr>
      </w:pPr>
      <w:r w:rsidRPr="00B83BBD">
        <w:rPr>
          <w:rFonts w:hint="cs"/>
          <w:sz w:val="24"/>
          <w:szCs w:val="24"/>
          <w:rtl/>
        </w:rPr>
        <w:t xml:space="preserve">בעקבות הבקשה קבלנו את המידע הבא: </w:t>
      </w:r>
      <w:r w:rsidRPr="00B83BBD">
        <w:rPr>
          <w:rFonts w:ascii="Arial" w:hAnsi="Arial" w:hint="cs"/>
          <w:sz w:val="24"/>
          <w:szCs w:val="24"/>
          <w:rtl/>
        </w:rPr>
        <w:t xml:space="preserve">לגבי כל בית דין משמעתי מחוזי, סה"כ 5 בתי דין, ובית הדין הארצי </w:t>
      </w:r>
      <w:r w:rsidRPr="00B83BBD">
        <w:rPr>
          <w:rFonts w:ascii="Arial" w:hAnsi="Arial"/>
          <w:sz w:val="24"/>
          <w:szCs w:val="24"/>
          <w:rtl/>
        </w:rPr>
        <w:t>–</w:t>
      </w:r>
      <w:r w:rsidRPr="00B83BBD">
        <w:rPr>
          <w:rFonts w:ascii="Arial" w:hAnsi="Arial" w:hint="cs"/>
          <w:sz w:val="24"/>
          <w:szCs w:val="24"/>
          <w:rtl/>
        </w:rPr>
        <w:t xml:space="preserve"> את מספר תיקי הקובלנות</w:t>
      </w:r>
      <w:r>
        <w:rPr>
          <w:rFonts w:ascii="Arial" w:hAnsi="Arial" w:hint="cs"/>
          <w:sz w:val="24"/>
          <w:szCs w:val="24"/>
          <w:rtl/>
        </w:rPr>
        <w:t xml:space="preserve"> ושמות עורכי הדין </w:t>
      </w:r>
      <w:proofErr w:type="spellStart"/>
      <w:r>
        <w:rPr>
          <w:rFonts w:ascii="Arial" w:hAnsi="Arial" w:hint="cs"/>
          <w:sz w:val="24"/>
          <w:szCs w:val="24"/>
          <w:rtl/>
        </w:rPr>
        <w:t>הנקבלים</w:t>
      </w:r>
      <w:proofErr w:type="spellEnd"/>
      <w:r>
        <w:rPr>
          <w:rFonts w:ascii="Arial" w:hAnsi="Arial" w:hint="cs"/>
          <w:sz w:val="24"/>
          <w:szCs w:val="24"/>
          <w:rtl/>
        </w:rPr>
        <w:t>, ב</w:t>
      </w:r>
      <w:r w:rsidRPr="00B83BBD">
        <w:rPr>
          <w:rFonts w:ascii="Arial" w:hAnsi="Arial" w:hint="cs"/>
          <w:sz w:val="24"/>
          <w:szCs w:val="24"/>
          <w:rtl/>
        </w:rPr>
        <w:t xml:space="preserve">שנים הבאות: 2010, 2011, 2012, 2013, 2014 עד לסוף חודש ספטמבר. </w:t>
      </w:r>
      <w:r>
        <w:rPr>
          <w:rFonts w:ascii="Arial" w:hAnsi="Arial" w:hint="cs"/>
          <w:sz w:val="24"/>
          <w:szCs w:val="24"/>
          <w:rtl/>
        </w:rPr>
        <w:t>בנוסף, בקשנו לציין האם הטיפול בתיק הסתיים וכיצד.</w:t>
      </w:r>
    </w:p>
    <w:p w:rsidR="00505C96" w:rsidRDefault="00B83BBD" w:rsidP="00B83BBD">
      <w:pPr>
        <w:contextualSpacing/>
        <w:rPr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המידע שהתקבל מעובד בימים אלו לנייר עמדה הנכתב ע"י ד"ר לימור זר-גוטמן.</w:t>
      </w:r>
    </w:p>
    <w:p w:rsidR="00B83BBD" w:rsidRPr="00B83BBD" w:rsidRDefault="00B83BBD" w:rsidP="00071D10">
      <w:pPr>
        <w:contextualSpacing/>
        <w:rPr>
          <w:sz w:val="24"/>
          <w:szCs w:val="24"/>
          <w:rtl/>
        </w:rPr>
      </w:pPr>
    </w:p>
    <w:p w:rsidR="00F659CB" w:rsidRDefault="00F659CB" w:rsidP="00505C96">
      <w:pPr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הגשת בקשה לפי חוק חופש המידע ל</w:t>
      </w:r>
      <w:r w:rsidR="00505C96">
        <w:rPr>
          <w:rFonts w:hint="cs"/>
          <w:b/>
          <w:bCs/>
          <w:sz w:val="28"/>
          <w:szCs w:val="28"/>
          <w:rtl/>
        </w:rPr>
        <w:t xml:space="preserve">לשכת עורכי הדין לעניין </w:t>
      </w:r>
      <w:r w:rsidR="00F11556">
        <w:rPr>
          <w:rFonts w:hint="cs"/>
          <w:b/>
          <w:bCs/>
          <w:sz w:val="28"/>
          <w:szCs w:val="28"/>
          <w:rtl/>
        </w:rPr>
        <w:t>הפרוטוקולים</w:t>
      </w:r>
      <w:r>
        <w:rPr>
          <w:rFonts w:hint="cs"/>
          <w:b/>
          <w:bCs/>
          <w:sz w:val="28"/>
          <w:szCs w:val="28"/>
          <w:rtl/>
        </w:rPr>
        <w:t xml:space="preserve"> וההחלטות של ועדת ההתמחות</w:t>
      </w:r>
    </w:p>
    <w:p w:rsidR="00F659CB" w:rsidRDefault="00F659CB" w:rsidP="00F11556">
      <w:pPr>
        <w:contextualSpacing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המרכז לאתיקה </w:t>
      </w:r>
      <w:r w:rsidR="00F11556">
        <w:rPr>
          <w:rFonts w:hint="cs"/>
          <w:sz w:val="24"/>
          <w:szCs w:val="24"/>
          <w:rtl/>
        </w:rPr>
        <w:t>בשיתוף</w:t>
      </w:r>
      <w:r>
        <w:rPr>
          <w:rFonts w:hint="cs"/>
          <w:sz w:val="24"/>
          <w:szCs w:val="24"/>
          <w:rtl/>
        </w:rPr>
        <w:t xml:space="preserve"> הקליניקה לחופש המידע הפועלת במכללה למינהל והתנועה לחופש המידע הגיש בחודש ינואר בקשת חופש מידע ללשכת עורכי הדין</w:t>
      </w:r>
      <w:r w:rsidR="00F11556">
        <w:rPr>
          <w:rFonts w:hint="cs"/>
          <w:sz w:val="24"/>
          <w:szCs w:val="24"/>
          <w:rtl/>
        </w:rPr>
        <w:t>.</w:t>
      </w:r>
    </w:p>
    <w:p w:rsidR="001875B3" w:rsidRPr="00F659CB" w:rsidRDefault="00B83BBD" w:rsidP="00B83BBD">
      <w:pPr>
        <w:contextualSpacing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בעקבות הבקשה קבלנו בימים אלו את הפרוטוקולים של ישיבות ועדת ההתמחות. וזאת לאחר דין ודברים ארוך עם הלשכה שבסופו </w:t>
      </w:r>
      <w:r w:rsidR="001875B3">
        <w:rPr>
          <w:rFonts w:hint="cs"/>
          <w:sz w:val="24"/>
          <w:szCs w:val="24"/>
          <w:rtl/>
        </w:rPr>
        <w:t>המרכז שילם ללשכה סך של 1100₪, עלות הפקת המסמכים.</w:t>
      </w:r>
    </w:p>
    <w:p w:rsidR="009E4EB2" w:rsidRDefault="009E4EB2" w:rsidP="0065219E">
      <w:pPr>
        <w:jc w:val="left"/>
        <w:rPr>
          <w:rtl/>
        </w:rPr>
      </w:pPr>
    </w:p>
    <w:p w:rsidR="0065219E" w:rsidRPr="0065219E" w:rsidRDefault="0065219E" w:rsidP="0065219E">
      <w:pPr>
        <w:jc w:val="left"/>
        <w:rPr>
          <w:b/>
          <w:bCs/>
          <w:sz w:val="28"/>
          <w:szCs w:val="28"/>
          <w:rtl/>
        </w:rPr>
      </w:pPr>
      <w:r w:rsidRPr="0065219E">
        <w:rPr>
          <w:rFonts w:hint="cs"/>
          <w:b/>
          <w:bCs/>
          <w:sz w:val="28"/>
          <w:szCs w:val="28"/>
          <w:rtl/>
        </w:rPr>
        <w:lastRenderedPageBreak/>
        <w:t xml:space="preserve">המשך ליווי פרויקט הקוד האתי של בית הספר למשפטים ע"ש חיים </w:t>
      </w:r>
      <w:proofErr w:type="spellStart"/>
      <w:r w:rsidRPr="0065219E">
        <w:rPr>
          <w:rFonts w:hint="cs"/>
          <w:b/>
          <w:bCs/>
          <w:sz w:val="28"/>
          <w:szCs w:val="28"/>
          <w:rtl/>
        </w:rPr>
        <w:t>שטריקס</w:t>
      </w:r>
      <w:proofErr w:type="spellEnd"/>
      <w:r w:rsidRPr="0065219E">
        <w:rPr>
          <w:rFonts w:hint="cs"/>
          <w:b/>
          <w:bCs/>
          <w:sz w:val="28"/>
          <w:szCs w:val="28"/>
          <w:rtl/>
        </w:rPr>
        <w:t>, המסלול האקדמי המכללה למינהל</w:t>
      </w:r>
    </w:p>
    <w:p w:rsidR="0065219E" w:rsidRDefault="0065219E" w:rsidP="0065219E">
      <w:pPr>
        <w:jc w:val="left"/>
      </w:pPr>
      <w:r w:rsidRPr="00D10FAE">
        <w:rPr>
          <w:rFonts w:hint="cs"/>
          <w:sz w:val="24"/>
          <w:szCs w:val="24"/>
          <w:rtl/>
        </w:rPr>
        <w:t>גם בשנת תשע"ה המשיך ה</w:t>
      </w:r>
      <w:r w:rsidR="00D10FAE">
        <w:rPr>
          <w:rFonts w:hint="cs"/>
          <w:sz w:val="24"/>
          <w:szCs w:val="24"/>
          <w:rtl/>
        </w:rPr>
        <w:t xml:space="preserve">מרכז לאתיקה ללוות ואת </w:t>
      </w:r>
      <w:r w:rsidRPr="00D10FAE">
        <w:rPr>
          <w:rFonts w:hint="cs"/>
          <w:sz w:val="24"/>
          <w:szCs w:val="24"/>
          <w:rtl/>
        </w:rPr>
        <w:t>פרויקט הקוד האתי שהחל בבית הספר למשפטים בשנת תשע"א</w:t>
      </w:r>
      <w:r>
        <w:rPr>
          <w:rFonts w:hint="cs"/>
          <w:rtl/>
        </w:rPr>
        <w:t>.</w:t>
      </w:r>
    </w:p>
    <w:sectPr w:rsidR="00652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A2" w:rsidRDefault="000468A2" w:rsidP="00F378AD">
      <w:pPr>
        <w:spacing w:after="0" w:line="240" w:lineRule="auto"/>
      </w:pPr>
      <w:r>
        <w:separator/>
      </w:r>
    </w:p>
  </w:endnote>
  <w:endnote w:type="continuationSeparator" w:id="0">
    <w:p w:rsidR="000468A2" w:rsidRDefault="000468A2" w:rsidP="00F3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AD" w:rsidRDefault="00F378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43497506"/>
      <w:docPartObj>
        <w:docPartGallery w:val="Page Numbers (Bottom of Page)"/>
        <w:docPartUnique/>
      </w:docPartObj>
    </w:sdtPr>
    <w:sdtEndPr/>
    <w:sdtContent>
      <w:p w:rsidR="00F378AD" w:rsidRDefault="00F378AD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30361E" w:rsidRPr="0030361E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F378AD" w:rsidRDefault="00F378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AD" w:rsidRDefault="00F378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A2" w:rsidRDefault="000468A2" w:rsidP="00F378AD">
      <w:pPr>
        <w:spacing w:after="0" w:line="240" w:lineRule="auto"/>
      </w:pPr>
      <w:r>
        <w:separator/>
      </w:r>
    </w:p>
  </w:footnote>
  <w:footnote w:type="continuationSeparator" w:id="0">
    <w:p w:rsidR="000468A2" w:rsidRDefault="000468A2" w:rsidP="00F3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AD" w:rsidRDefault="00F378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AD" w:rsidRDefault="00F378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AD" w:rsidRDefault="00F37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AB"/>
    <w:rsid w:val="00010495"/>
    <w:rsid w:val="0001187D"/>
    <w:rsid w:val="000468A2"/>
    <w:rsid w:val="00051870"/>
    <w:rsid w:val="00060F25"/>
    <w:rsid w:val="000631C7"/>
    <w:rsid w:val="0006457C"/>
    <w:rsid w:val="00071D10"/>
    <w:rsid w:val="00083451"/>
    <w:rsid w:val="00085DC8"/>
    <w:rsid w:val="00091C69"/>
    <w:rsid w:val="00094BF0"/>
    <w:rsid w:val="0009515D"/>
    <w:rsid w:val="000B30C1"/>
    <w:rsid w:val="000B6377"/>
    <w:rsid w:val="000B7570"/>
    <w:rsid w:val="000C0DCB"/>
    <w:rsid w:val="000C5101"/>
    <w:rsid w:val="000D0D05"/>
    <w:rsid w:val="000E369E"/>
    <w:rsid w:val="000E5553"/>
    <w:rsid w:val="000E63AE"/>
    <w:rsid w:val="000F62F4"/>
    <w:rsid w:val="001211D5"/>
    <w:rsid w:val="00123CDE"/>
    <w:rsid w:val="00133965"/>
    <w:rsid w:val="001357B9"/>
    <w:rsid w:val="00145D87"/>
    <w:rsid w:val="00152553"/>
    <w:rsid w:val="0015451B"/>
    <w:rsid w:val="001632D8"/>
    <w:rsid w:val="00163448"/>
    <w:rsid w:val="001875B3"/>
    <w:rsid w:val="001A5B21"/>
    <w:rsid w:val="001A7BD8"/>
    <w:rsid w:val="001C24FD"/>
    <w:rsid w:val="001C461D"/>
    <w:rsid w:val="001E16AC"/>
    <w:rsid w:val="001F1B9F"/>
    <w:rsid w:val="00230DAB"/>
    <w:rsid w:val="00231056"/>
    <w:rsid w:val="00242FBC"/>
    <w:rsid w:val="00251E58"/>
    <w:rsid w:val="0027264A"/>
    <w:rsid w:val="002741D9"/>
    <w:rsid w:val="002745B9"/>
    <w:rsid w:val="0027695F"/>
    <w:rsid w:val="002812B2"/>
    <w:rsid w:val="002A4D1A"/>
    <w:rsid w:val="002B06C1"/>
    <w:rsid w:val="002B5371"/>
    <w:rsid w:val="002B6225"/>
    <w:rsid w:val="002E66FB"/>
    <w:rsid w:val="002F6BF1"/>
    <w:rsid w:val="00300FE5"/>
    <w:rsid w:val="00302822"/>
    <w:rsid w:val="0030361E"/>
    <w:rsid w:val="00304484"/>
    <w:rsid w:val="00304C34"/>
    <w:rsid w:val="0031006D"/>
    <w:rsid w:val="00313A82"/>
    <w:rsid w:val="003337B5"/>
    <w:rsid w:val="00340508"/>
    <w:rsid w:val="00355016"/>
    <w:rsid w:val="00356DA2"/>
    <w:rsid w:val="00357E5E"/>
    <w:rsid w:val="0037544C"/>
    <w:rsid w:val="00375C19"/>
    <w:rsid w:val="00386BC7"/>
    <w:rsid w:val="003A1E21"/>
    <w:rsid w:val="003A5C75"/>
    <w:rsid w:val="003B28D3"/>
    <w:rsid w:val="003B74C6"/>
    <w:rsid w:val="003E4FE3"/>
    <w:rsid w:val="003E698D"/>
    <w:rsid w:val="00405902"/>
    <w:rsid w:val="004062CA"/>
    <w:rsid w:val="00414E65"/>
    <w:rsid w:val="00424B5D"/>
    <w:rsid w:val="0044130E"/>
    <w:rsid w:val="00450D50"/>
    <w:rsid w:val="00456F10"/>
    <w:rsid w:val="0046586B"/>
    <w:rsid w:val="00465EFB"/>
    <w:rsid w:val="0048787A"/>
    <w:rsid w:val="004921DA"/>
    <w:rsid w:val="004A4750"/>
    <w:rsid w:val="004A6588"/>
    <w:rsid w:val="004C0795"/>
    <w:rsid w:val="004C3F4F"/>
    <w:rsid w:val="004C5441"/>
    <w:rsid w:val="004C73FD"/>
    <w:rsid w:val="004D1B90"/>
    <w:rsid w:val="004D5567"/>
    <w:rsid w:val="004D5E30"/>
    <w:rsid w:val="004D7B5A"/>
    <w:rsid w:val="004F1DC7"/>
    <w:rsid w:val="00505C96"/>
    <w:rsid w:val="005125D7"/>
    <w:rsid w:val="00532A10"/>
    <w:rsid w:val="00545E6A"/>
    <w:rsid w:val="0055147B"/>
    <w:rsid w:val="005564FA"/>
    <w:rsid w:val="005737F1"/>
    <w:rsid w:val="00594F92"/>
    <w:rsid w:val="005B341C"/>
    <w:rsid w:val="005B39EB"/>
    <w:rsid w:val="005B5467"/>
    <w:rsid w:val="005C04A8"/>
    <w:rsid w:val="005F074D"/>
    <w:rsid w:val="005F5BA8"/>
    <w:rsid w:val="0065219E"/>
    <w:rsid w:val="00654B6E"/>
    <w:rsid w:val="00671A84"/>
    <w:rsid w:val="00674067"/>
    <w:rsid w:val="00691DD1"/>
    <w:rsid w:val="00693206"/>
    <w:rsid w:val="00695F9F"/>
    <w:rsid w:val="006A4FE4"/>
    <w:rsid w:val="006C0D64"/>
    <w:rsid w:val="006D1D84"/>
    <w:rsid w:val="006D4122"/>
    <w:rsid w:val="006F6353"/>
    <w:rsid w:val="0070753A"/>
    <w:rsid w:val="00707DA1"/>
    <w:rsid w:val="007126C6"/>
    <w:rsid w:val="00740A56"/>
    <w:rsid w:val="00754B62"/>
    <w:rsid w:val="00756879"/>
    <w:rsid w:val="00763A40"/>
    <w:rsid w:val="00765194"/>
    <w:rsid w:val="00783196"/>
    <w:rsid w:val="007852B5"/>
    <w:rsid w:val="007A4079"/>
    <w:rsid w:val="007C255A"/>
    <w:rsid w:val="007D1FFB"/>
    <w:rsid w:val="007F3CE3"/>
    <w:rsid w:val="007F66D0"/>
    <w:rsid w:val="00813046"/>
    <w:rsid w:val="0082223C"/>
    <w:rsid w:val="00831C2A"/>
    <w:rsid w:val="008344D5"/>
    <w:rsid w:val="00837DD3"/>
    <w:rsid w:val="00871AF8"/>
    <w:rsid w:val="008768F2"/>
    <w:rsid w:val="00884387"/>
    <w:rsid w:val="00887254"/>
    <w:rsid w:val="0089544D"/>
    <w:rsid w:val="008A504C"/>
    <w:rsid w:val="008B326D"/>
    <w:rsid w:val="008E2BB6"/>
    <w:rsid w:val="008E67A9"/>
    <w:rsid w:val="008E7D68"/>
    <w:rsid w:val="008F4662"/>
    <w:rsid w:val="00913778"/>
    <w:rsid w:val="009220BF"/>
    <w:rsid w:val="00943EA0"/>
    <w:rsid w:val="00974B39"/>
    <w:rsid w:val="00974D6A"/>
    <w:rsid w:val="00992605"/>
    <w:rsid w:val="009A256D"/>
    <w:rsid w:val="009B0B5B"/>
    <w:rsid w:val="009B3603"/>
    <w:rsid w:val="009B3D30"/>
    <w:rsid w:val="009B44FF"/>
    <w:rsid w:val="009B4AEE"/>
    <w:rsid w:val="009C26E6"/>
    <w:rsid w:val="009D2540"/>
    <w:rsid w:val="009E4EB2"/>
    <w:rsid w:val="009F5590"/>
    <w:rsid w:val="009F572E"/>
    <w:rsid w:val="009F7D26"/>
    <w:rsid w:val="00A01272"/>
    <w:rsid w:val="00A21931"/>
    <w:rsid w:val="00A343C2"/>
    <w:rsid w:val="00A37D7D"/>
    <w:rsid w:val="00A40814"/>
    <w:rsid w:val="00A41E4D"/>
    <w:rsid w:val="00A43440"/>
    <w:rsid w:val="00A5232A"/>
    <w:rsid w:val="00A56F58"/>
    <w:rsid w:val="00A772EE"/>
    <w:rsid w:val="00A8081F"/>
    <w:rsid w:val="00A821A5"/>
    <w:rsid w:val="00A82D3F"/>
    <w:rsid w:val="00A93E67"/>
    <w:rsid w:val="00A96FCB"/>
    <w:rsid w:val="00A97419"/>
    <w:rsid w:val="00AA40BA"/>
    <w:rsid w:val="00AB7349"/>
    <w:rsid w:val="00AC05A1"/>
    <w:rsid w:val="00AD27A4"/>
    <w:rsid w:val="00AD617F"/>
    <w:rsid w:val="00AE45C5"/>
    <w:rsid w:val="00B169B7"/>
    <w:rsid w:val="00B212AF"/>
    <w:rsid w:val="00B21567"/>
    <w:rsid w:val="00B22257"/>
    <w:rsid w:val="00B23522"/>
    <w:rsid w:val="00B25544"/>
    <w:rsid w:val="00B26F1A"/>
    <w:rsid w:val="00B360DF"/>
    <w:rsid w:val="00B36414"/>
    <w:rsid w:val="00B36A11"/>
    <w:rsid w:val="00B374F6"/>
    <w:rsid w:val="00B56425"/>
    <w:rsid w:val="00B61366"/>
    <w:rsid w:val="00B75B9D"/>
    <w:rsid w:val="00B76F84"/>
    <w:rsid w:val="00B83BBD"/>
    <w:rsid w:val="00B84DCB"/>
    <w:rsid w:val="00B93294"/>
    <w:rsid w:val="00B93B26"/>
    <w:rsid w:val="00B979C3"/>
    <w:rsid w:val="00BC4CEA"/>
    <w:rsid w:val="00BC5340"/>
    <w:rsid w:val="00BC684F"/>
    <w:rsid w:val="00BE576E"/>
    <w:rsid w:val="00BF0406"/>
    <w:rsid w:val="00BF48B2"/>
    <w:rsid w:val="00BF6EA9"/>
    <w:rsid w:val="00BF7BF1"/>
    <w:rsid w:val="00C07B31"/>
    <w:rsid w:val="00C111DD"/>
    <w:rsid w:val="00C35665"/>
    <w:rsid w:val="00C453C8"/>
    <w:rsid w:val="00C50B72"/>
    <w:rsid w:val="00C521F6"/>
    <w:rsid w:val="00C631F7"/>
    <w:rsid w:val="00C63815"/>
    <w:rsid w:val="00C724D0"/>
    <w:rsid w:val="00C754F3"/>
    <w:rsid w:val="00C81291"/>
    <w:rsid w:val="00C81449"/>
    <w:rsid w:val="00C84E0C"/>
    <w:rsid w:val="00C86326"/>
    <w:rsid w:val="00C934A0"/>
    <w:rsid w:val="00C97D12"/>
    <w:rsid w:val="00CA05A2"/>
    <w:rsid w:val="00CB5EAB"/>
    <w:rsid w:val="00CB6E64"/>
    <w:rsid w:val="00CC3208"/>
    <w:rsid w:val="00CC4ED9"/>
    <w:rsid w:val="00CC658A"/>
    <w:rsid w:val="00CD0387"/>
    <w:rsid w:val="00CD6A2A"/>
    <w:rsid w:val="00CD7B46"/>
    <w:rsid w:val="00D059B6"/>
    <w:rsid w:val="00D10FAE"/>
    <w:rsid w:val="00D27064"/>
    <w:rsid w:val="00D674CC"/>
    <w:rsid w:val="00D7416B"/>
    <w:rsid w:val="00D84476"/>
    <w:rsid w:val="00D90BF8"/>
    <w:rsid w:val="00D91776"/>
    <w:rsid w:val="00D91FA4"/>
    <w:rsid w:val="00DA5AE7"/>
    <w:rsid w:val="00DB5C4F"/>
    <w:rsid w:val="00DC2240"/>
    <w:rsid w:val="00DE148C"/>
    <w:rsid w:val="00DE31C1"/>
    <w:rsid w:val="00DE35D2"/>
    <w:rsid w:val="00DE6793"/>
    <w:rsid w:val="00E01D83"/>
    <w:rsid w:val="00E24131"/>
    <w:rsid w:val="00E32DE5"/>
    <w:rsid w:val="00E36ACD"/>
    <w:rsid w:val="00E46BF1"/>
    <w:rsid w:val="00E601F8"/>
    <w:rsid w:val="00E6548E"/>
    <w:rsid w:val="00E65980"/>
    <w:rsid w:val="00E71D64"/>
    <w:rsid w:val="00E72F17"/>
    <w:rsid w:val="00E877CA"/>
    <w:rsid w:val="00E93018"/>
    <w:rsid w:val="00EA28D9"/>
    <w:rsid w:val="00EA6AAD"/>
    <w:rsid w:val="00EC107B"/>
    <w:rsid w:val="00EC61CA"/>
    <w:rsid w:val="00EC78A7"/>
    <w:rsid w:val="00EC7BFB"/>
    <w:rsid w:val="00ED2066"/>
    <w:rsid w:val="00EE1C01"/>
    <w:rsid w:val="00EF1DD2"/>
    <w:rsid w:val="00F057A0"/>
    <w:rsid w:val="00F11556"/>
    <w:rsid w:val="00F20360"/>
    <w:rsid w:val="00F20D95"/>
    <w:rsid w:val="00F23937"/>
    <w:rsid w:val="00F25E82"/>
    <w:rsid w:val="00F378AD"/>
    <w:rsid w:val="00F44E5A"/>
    <w:rsid w:val="00F50066"/>
    <w:rsid w:val="00F51DB4"/>
    <w:rsid w:val="00F55BA5"/>
    <w:rsid w:val="00F615E0"/>
    <w:rsid w:val="00F63830"/>
    <w:rsid w:val="00F659CB"/>
    <w:rsid w:val="00F74E17"/>
    <w:rsid w:val="00F8455D"/>
    <w:rsid w:val="00F86F4A"/>
    <w:rsid w:val="00F95220"/>
    <w:rsid w:val="00F95B3B"/>
    <w:rsid w:val="00FB0F2F"/>
    <w:rsid w:val="00FB430B"/>
    <w:rsid w:val="00FB66CC"/>
    <w:rsid w:val="00FD13CA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4C554-6A00-44F6-9F67-E46BD7D6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AB"/>
    <w:pPr>
      <w:bidi/>
      <w:spacing w:after="200" w:line="48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1B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F3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378AD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F3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378A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7BBE97F17A8A840B52F50E47E54DB2B" ma:contentTypeVersion="1" ma:contentTypeDescription="צור מסמך חדש." ma:contentTypeScope="" ma:versionID="6211a1f1da0a98dcea8b0720f6f0ad8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44f2777d6f160c888f271bceac058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3E4F6-B48C-4C88-9817-93A73C5BF888}"/>
</file>

<file path=customXml/itemProps2.xml><?xml version="1.0" encoding="utf-8"?>
<ds:datastoreItem xmlns:ds="http://schemas.openxmlformats.org/officeDocument/2006/customXml" ds:itemID="{80F050C2-E008-42CD-B97D-CEDB20B134C1}"/>
</file>

<file path=customXml/itemProps3.xml><?xml version="1.0" encoding="utf-8"?>
<ds:datastoreItem xmlns:ds="http://schemas.openxmlformats.org/officeDocument/2006/customXml" ds:itemID="{A2A7F78B-0E9F-4616-99D7-08F86DA3C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zer-gutman</dc:creator>
  <cp:keywords/>
  <dc:description/>
  <cp:lastModifiedBy>limor zer-gutman</cp:lastModifiedBy>
  <cp:revision>38</cp:revision>
  <dcterms:created xsi:type="dcterms:W3CDTF">2015-09-07T07:56:00Z</dcterms:created>
  <dcterms:modified xsi:type="dcterms:W3CDTF">2015-10-12T08:19:00Z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0x01010067BBE97F17A8A840B52F50E47E54DB2B</vt:lpwstr>
  </property>
</Properties>
</file>